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b/>
          <w:color w:val="19273C"/>
          <w:sz w:val="30"/>
        </w:rPr>
        <w:t>Sample Industrial — Capistrano Toolkit Demo Lease Abstract — Lease Abstract</w:t>
      </w:r>
    </w:p>
    <w:p>
      <w:pPr>
        <w:spacing w:after="0"/>
      </w:pPr>
      <w:r>
        <w:rPr>
          <w:color w:val="6B7587"/>
          <w:sz w:val="19"/>
        </w:rPr>
        <w:t>Absolute NNN  |  1234 Sample Industrial Way, Anytown, USA</w:t>
      </w:r>
    </w:p>
    <w:p>
      <w:r>
        <w:rPr>
          <w:i/>
          <w:color w:val="6B7587"/>
          <w:sz w:val="17"/>
        </w:rPr>
        <w:t>As of Jan 01, 2026  ·  Abstracted 2026-06-04  ·  Source: Sample Industrial Lease.pdf (illustrative — fictional lease)</w:t>
      </w:r>
    </w:p>
    <w:p>
      <w:r>
        <w:rPr>
          <w:i/>
          <w:color w:val="9C7B4F"/>
          <w:sz w:val="17"/>
        </w:rPr>
        <w:t>Reflects the lease as amended through First Amendment. Superseded original terms appear only in Amendments &amp; Lease History; elapsed dates/options are marked Passed.</w:t>
      </w:r>
    </w:p>
    <w:p>
      <w:pPr>
        <w:spacing w:before="160" w:after="40"/>
        <w:pBdr>
          <w:bottom w:val="single" w:sz="4" w:color="D9DEE7" w:space="2"/>
        </w:pBdr>
      </w:pPr>
      <w:r>
        <w:rPr>
          <w:b/>
          <w:color w:val="19273C"/>
          <w:sz w:val="21"/>
        </w:rPr>
        <w:t>PROPERTY &amp; PARTIES</w:t>
      </w:r>
    </w:p>
    <w:tbl>
      <w:tblPr>
        <w:tblW w:type="auto" w:w="0"/>
        <w:jc w:val="left"/>
        <w:tblLook w:firstColumn="1" w:firstRow="1" w:lastColumn="0" w:lastRow="0" w:noHBand="0" w:noVBand="1" w:val="04A0"/>
      </w:tblPr>
      <w:tblGrid>
        <w:gridCol w:w="5112"/>
        <w:gridCol w:w="5112"/>
      </w:tblGrid>
      <w:tr>
        <w:tc>
          <w:tcPr>
            <w:tcW w:type="dxa" w:w="3312"/>
          </w:tcPr>
          <w:p>
            <w:pPr>
              <w:spacing w:after="20"/>
            </w:pPr>
            <w:r>
              <w:rPr>
                <w:b/>
                <w:color w:val="0E1422"/>
                <w:sz w:val="19"/>
              </w:rPr>
              <w:t>Address</w:t>
            </w:r>
          </w:p>
        </w:tc>
        <w:tc>
          <w:tcPr>
            <w:tcW w:type="dxa" w:w="6768"/>
          </w:tcPr>
          <w:p>
            <w:pPr>
              <w:spacing w:after="20"/>
            </w:pPr>
            <w:r>
              <w:rPr>
                <w:color w:val="0E1422"/>
                <w:sz w:val="19"/>
              </w:rPr>
              <w:t>1234 Sample Industrial Way, Anytown, USA</w:t>
            </w:r>
          </w:p>
        </w:tc>
      </w:tr>
      <w:tr>
        <w:tc>
          <w:tcPr>
            <w:tcW w:type="dxa" w:w="3312"/>
          </w:tcPr>
          <w:p>
            <w:pPr>
              <w:spacing w:after="20"/>
            </w:pPr>
            <w:r>
              <w:rPr>
                <w:b/>
                <w:color w:val="0E1422"/>
                <w:sz w:val="19"/>
              </w:rPr>
              <w:t>Unit / Suite</w:t>
            </w:r>
          </w:p>
        </w:tc>
        <w:tc>
          <w:tcPr>
            <w:tcW w:type="dxa" w:w="6768"/>
          </w:tcPr>
          <w:p>
            <w:pPr>
              <w:spacing w:after="20"/>
            </w:pPr>
            <w:r>
              <w:rPr>
                <w:color w:val="0E1422"/>
                <w:sz w:val="19"/>
              </w:rPr>
              <w:t>Single tenant occupies entire premises</w:t>
            </w:r>
          </w:p>
        </w:tc>
      </w:tr>
      <w:tr>
        <w:tc>
          <w:tcPr>
            <w:tcW w:type="dxa" w:w="3312"/>
          </w:tcPr>
          <w:p>
            <w:pPr>
              <w:spacing w:after="20"/>
            </w:pPr>
            <w:r>
              <w:rPr>
                <w:b/>
                <w:color w:val="0E1422"/>
                <w:sz w:val="19"/>
              </w:rPr>
              <w:t>Premises SF</w:t>
            </w:r>
          </w:p>
        </w:tc>
        <w:tc>
          <w:tcPr>
            <w:tcW w:type="dxa" w:w="6768"/>
          </w:tcPr>
          <w:p>
            <w:pPr>
              <w:spacing w:after="20"/>
            </w:pPr>
            <w:r>
              <w:rPr>
                <w:color w:val="0E1422"/>
                <w:sz w:val="19"/>
              </w:rPr>
              <w:t>85,000</w:t>
            </w:r>
          </w:p>
        </w:tc>
      </w:tr>
      <w:tr>
        <w:tc>
          <w:tcPr>
            <w:tcW w:type="dxa" w:w="3312"/>
          </w:tcPr>
          <w:p>
            <w:pPr>
              <w:spacing w:after="20"/>
            </w:pPr>
            <w:r>
              <w:rPr>
                <w:b/>
                <w:color w:val="0E1422"/>
                <w:sz w:val="19"/>
              </w:rPr>
              <w:t>Building SF</w:t>
            </w:r>
          </w:p>
        </w:tc>
        <w:tc>
          <w:tcPr>
            <w:tcW w:type="dxa" w:w="6768"/>
          </w:tcPr>
          <w:p>
            <w:pPr>
              <w:spacing w:after="20"/>
            </w:pPr>
            <w:r>
              <w:rPr>
                <w:color w:val="0E1422"/>
                <w:sz w:val="19"/>
              </w:rPr>
              <w:t>85,000</w:t>
            </w:r>
          </w:p>
        </w:tc>
      </w:tr>
      <w:tr>
        <w:tc>
          <w:tcPr>
            <w:tcW w:type="dxa" w:w="3312"/>
          </w:tcPr>
          <w:p>
            <w:pPr>
              <w:spacing w:after="20"/>
            </w:pPr>
            <w:r>
              <w:rPr>
                <w:b/>
                <w:color w:val="0E1422"/>
                <w:sz w:val="19"/>
              </w:rPr>
              <w:t>Land / Parcel</w:t>
            </w:r>
          </w:p>
        </w:tc>
        <w:tc>
          <w:tcPr>
            <w:tcW w:type="dxa" w:w="6768"/>
          </w:tcPr>
          <w:p>
            <w:pPr>
              <w:spacing w:after="20"/>
            </w:pPr>
            <w:r>
              <w:rPr>
                <w:color w:val="0E1422"/>
                <w:sz w:val="19"/>
              </w:rPr>
              <w:t>6.20 acres</w:t>
            </w:r>
          </w:p>
        </w:tc>
      </w:tr>
      <w:tr>
        <w:tc>
          <w:tcPr>
            <w:tcW w:type="dxa" w:w="3312"/>
          </w:tcPr>
          <w:p>
            <w:pPr>
              <w:spacing w:after="20"/>
            </w:pPr>
            <w:r>
              <w:rPr>
                <w:b/>
                <w:color w:val="0E1422"/>
                <w:sz w:val="19"/>
              </w:rPr>
              <w:t>Year Built</w:t>
            </w:r>
          </w:p>
        </w:tc>
        <w:tc>
          <w:tcPr>
            <w:tcW w:type="dxa" w:w="6768"/>
          </w:tcPr>
          <w:p>
            <w:pPr>
              <w:spacing w:after="20"/>
            </w:pPr>
            <w:r>
              <w:rPr>
                <w:color w:val="0E1422"/>
                <w:sz w:val="19"/>
              </w:rPr>
              <w:t>2014</w:t>
            </w:r>
          </w:p>
        </w:tc>
      </w:tr>
      <w:tr>
        <w:tc>
          <w:tcPr>
            <w:tcW w:type="dxa" w:w="3312"/>
          </w:tcPr>
          <w:p>
            <w:pPr>
              <w:spacing w:after="20"/>
            </w:pPr>
            <w:r>
              <w:rPr>
                <w:b/>
                <w:color w:val="0E1422"/>
                <w:sz w:val="19"/>
              </w:rPr>
              <w:t>Tenant</w:t>
            </w:r>
          </w:p>
        </w:tc>
        <w:tc>
          <w:tcPr>
            <w:tcW w:type="dxa" w:w="6768"/>
          </w:tcPr>
          <w:p>
            <w:pPr>
              <w:spacing w:after="20"/>
            </w:pPr>
            <w:r>
              <w:rPr>
                <w:color w:val="0E1422"/>
                <w:sz w:val="19"/>
              </w:rPr>
              <w:t>Acme Industrial Co.</w:t>
            </w:r>
          </w:p>
        </w:tc>
      </w:tr>
      <w:tr>
        <w:tc>
          <w:tcPr>
            <w:tcW w:type="dxa" w:w="3312"/>
          </w:tcPr>
          <w:p>
            <w:pPr>
              <w:spacing w:after="20"/>
            </w:pPr>
            <w:r>
              <w:rPr>
                <w:b/>
                <w:color w:val="0E1422"/>
                <w:sz w:val="19"/>
              </w:rPr>
              <w:t>Tenant Entity</w:t>
            </w:r>
          </w:p>
        </w:tc>
        <w:tc>
          <w:tcPr>
            <w:tcW w:type="dxa" w:w="6768"/>
          </w:tcPr>
          <w:p>
            <w:pPr>
              <w:spacing w:after="20"/>
            </w:pPr>
            <w:r>
              <w:rPr>
                <w:color w:val="0E1422"/>
                <w:sz w:val="19"/>
              </w:rPr>
              <w:t>Acme Industrial Co., a Delaware corporation (OpCo)</w:t>
            </w:r>
          </w:p>
        </w:tc>
      </w:tr>
      <w:tr>
        <w:tc>
          <w:tcPr>
            <w:tcW w:type="dxa" w:w="3312"/>
          </w:tcPr>
          <w:p>
            <w:pPr>
              <w:spacing w:after="20"/>
            </w:pPr>
            <w:r>
              <w:rPr>
                <w:b/>
                <w:color w:val="0E1422"/>
                <w:sz w:val="19"/>
              </w:rPr>
              <w:t>Guarantor</w:t>
            </w:r>
          </w:p>
        </w:tc>
        <w:tc>
          <w:tcPr>
            <w:tcW w:type="dxa" w:w="6768"/>
          </w:tcPr>
          <w:p>
            <w:pPr>
              <w:spacing w:after="20"/>
            </w:pPr>
            <w:r>
              <w:rPr>
                <w:color w:val="0E1422"/>
                <w:sz w:val="19"/>
              </w:rPr>
              <w:t>Acme Industrial Co. (OpCo guaranty — no separate parent guaranty)</w:t>
            </w:r>
          </w:p>
        </w:tc>
      </w:tr>
      <w:tr>
        <w:tc>
          <w:tcPr>
            <w:tcW w:type="dxa" w:w="3312"/>
          </w:tcPr>
          <w:p>
            <w:pPr>
              <w:spacing w:after="20"/>
            </w:pPr>
            <w:r>
              <w:rPr>
                <w:b/>
                <w:color w:val="0E1422"/>
                <w:sz w:val="19"/>
              </w:rPr>
              <w:t>Landlord</w:t>
            </w:r>
          </w:p>
        </w:tc>
        <w:tc>
          <w:tcPr>
            <w:tcW w:type="dxa" w:w="6768"/>
          </w:tcPr>
          <w:p>
            <w:pPr>
              <w:spacing w:after="20"/>
            </w:pPr>
            <w:r>
              <w:rPr>
                <w:color w:val="0E1422"/>
                <w:sz w:val="19"/>
              </w:rPr>
              <w:t>Capistrano Demo Holdings, LLC (fictional landlord)</w:t>
            </w:r>
          </w:p>
        </w:tc>
      </w:tr>
    </w:tbl>
    <w:p>
      <w:pPr>
        <w:spacing w:before="160" w:after="40"/>
        <w:pBdr>
          <w:bottom w:val="single" w:sz="4" w:color="D9DEE7" w:space="2"/>
        </w:pBdr>
      </w:pPr>
      <w:r>
        <w:rPr>
          <w:b/>
          <w:color w:val="19273C"/>
          <w:sz w:val="21"/>
        </w:rPr>
        <w:t>LEASE TERM</w:t>
      </w:r>
    </w:p>
    <w:tbl>
      <w:tblPr>
        <w:tblW w:type="auto" w:w="0"/>
        <w:jc w:val="left"/>
        <w:tblLook w:firstColumn="1" w:firstRow="1" w:lastColumn="0" w:lastRow="0" w:noHBand="0" w:noVBand="1" w:val="04A0"/>
      </w:tblPr>
      <w:tblGrid>
        <w:gridCol w:w="5112"/>
        <w:gridCol w:w="5112"/>
      </w:tblGrid>
      <w:tr>
        <w:tc>
          <w:tcPr>
            <w:tcW w:type="dxa" w:w="3312"/>
          </w:tcPr>
          <w:p>
            <w:pPr>
              <w:spacing w:after="20"/>
            </w:pPr>
            <w:r>
              <w:rPr>
                <w:b/>
                <w:color w:val="0E1422"/>
                <w:sz w:val="19"/>
              </w:rPr>
              <w:t>Lease Type</w:t>
            </w:r>
          </w:p>
        </w:tc>
        <w:tc>
          <w:tcPr>
            <w:tcW w:type="dxa" w:w="6768"/>
          </w:tcPr>
          <w:p>
            <w:pPr>
              <w:spacing w:after="20"/>
            </w:pPr>
            <w:r>
              <w:rPr>
                <w:color w:val="0E1422"/>
                <w:sz w:val="19"/>
              </w:rPr>
              <w:t>Absolute NNN</w:t>
            </w:r>
          </w:p>
        </w:tc>
      </w:tr>
      <w:tr>
        <w:tc>
          <w:tcPr>
            <w:tcW w:type="dxa" w:w="3312"/>
          </w:tcPr>
          <w:p>
            <w:pPr>
              <w:spacing w:after="20"/>
            </w:pPr>
            <w:r>
              <w:rPr>
                <w:b/>
                <w:color w:val="0E1422"/>
                <w:sz w:val="19"/>
              </w:rPr>
              <w:t>Source</w:t>
            </w:r>
          </w:p>
        </w:tc>
        <w:tc>
          <w:tcPr>
            <w:tcW w:type="dxa" w:w="6768"/>
          </w:tcPr>
          <w:p>
            <w:pPr>
              <w:spacing w:after="20"/>
            </w:pPr>
            <w:r>
              <w:rPr>
                <w:color w:val="0E1422"/>
                <w:sz w:val="19"/>
              </w:rPr>
              <w:t>Executed Lease — illustrative (fictional)</w:t>
            </w:r>
          </w:p>
        </w:tc>
      </w:tr>
      <w:tr>
        <w:tc>
          <w:tcPr>
            <w:tcW w:type="dxa" w:w="3312"/>
          </w:tcPr>
          <w:p>
            <w:pPr>
              <w:spacing w:after="20"/>
            </w:pPr>
            <w:r>
              <w:rPr>
                <w:b/>
                <w:color w:val="0E1422"/>
                <w:sz w:val="19"/>
              </w:rPr>
              <w:t>Commencement</w:t>
            </w:r>
          </w:p>
        </w:tc>
        <w:tc>
          <w:tcPr>
            <w:tcW w:type="dxa" w:w="6768"/>
          </w:tcPr>
          <w:p>
            <w:pPr>
              <w:spacing w:after="20"/>
            </w:pPr>
            <w:r>
              <w:rPr>
                <w:color w:val="0E1422"/>
                <w:sz w:val="19"/>
              </w:rPr>
              <w:t>January 1, 2019</w:t>
            </w:r>
          </w:p>
        </w:tc>
      </w:tr>
      <w:tr>
        <w:tc>
          <w:tcPr>
            <w:tcW w:type="dxa" w:w="3312"/>
          </w:tcPr>
          <w:p>
            <w:pPr>
              <w:spacing w:after="20"/>
            </w:pPr>
            <w:r>
              <w:rPr>
                <w:b/>
                <w:color w:val="0E1422"/>
                <w:sz w:val="19"/>
              </w:rPr>
              <w:t>Rent Commencement</w:t>
            </w:r>
          </w:p>
        </w:tc>
        <w:tc>
          <w:tcPr>
            <w:tcW w:type="dxa" w:w="6768"/>
          </w:tcPr>
          <w:p>
            <w:pPr>
              <w:spacing w:after="20"/>
            </w:pPr>
            <w:r>
              <w:rPr>
                <w:color w:val="0E1422"/>
                <w:sz w:val="19"/>
              </w:rPr>
              <w:t>January 1, 2019</w:t>
            </w:r>
          </w:p>
        </w:tc>
      </w:tr>
      <w:tr>
        <w:tc>
          <w:tcPr>
            <w:tcW w:type="dxa" w:w="3312"/>
          </w:tcPr>
          <w:p>
            <w:pPr>
              <w:spacing w:after="20"/>
            </w:pPr>
            <w:r>
              <w:rPr>
                <w:b/>
                <w:color w:val="0E1422"/>
                <w:sz w:val="19"/>
              </w:rPr>
              <w:t>Expiration</w:t>
            </w:r>
          </w:p>
        </w:tc>
        <w:tc>
          <w:tcPr>
            <w:tcW w:type="dxa" w:w="6768"/>
          </w:tcPr>
          <w:p>
            <w:pPr>
              <w:spacing w:after="20"/>
            </w:pPr>
            <w:r>
              <w:rPr>
                <w:color w:val="0E1422"/>
                <w:sz w:val="19"/>
              </w:rPr>
              <w:t>December 31, 2034</w:t>
            </w:r>
          </w:p>
        </w:tc>
      </w:tr>
      <w:tr>
        <w:tc>
          <w:tcPr>
            <w:tcW w:type="dxa" w:w="3312"/>
          </w:tcPr>
          <w:p>
            <w:pPr>
              <w:spacing w:after="20"/>
            </w:pPr>
            <w:r>
              <w:rPr>
                <w:b/>
                <w:color w:val="0E1422"/>
                <w:sz w:val="19"/>
              </w:rPr>
              <w:t>Term</w:t>
            </w:r>
          </w:p>
        </w:tc>
        <w:tc>
          <w:tcPr>
            <w:tcW w:type="dxa" w:w="6768"/>
          </w:tcPr>
          <w:p>
            <w:pPr>
              <w:spacing w:after="20"/>
            </w:pPr>
            <w:r>
              <w:rPr>
                <w:color w:val="0E1422"/>
                <w:sz w:val="19"/>
              </w:rPr>
              <w:t>Sixteen (16) years</w:t>
            </w:r>
          </w:p>
        </w:tc>
      </w:tr>
      <w:tr>
        <w:tc>
          <w:tcPr>
            <w:tcW w:type="dxa" w:w="3312"/>
          </w:tcPr>
          <w:p>
            <w:pPr>
              <w:spacing w:after="20"/>
            </w:pPr>
            <w:r>
              <w:rPr>
                <w:b/>
                <w:color w:val="0E1422"/>
                <w:sz w:val="19"/>
              </w:rPr>
              <w:t>Remaining at Close</w:t>
            </w:r>
          </w:p>
        </w:tc>
        <w:tc>
          <w:tcPr>
            <w:tcW w:type="dxa" w:w="6768"/>
          </w:tcPr>
          <w:p>
            <w:pPr>
              <w:spacing w:after="20"/>
            </w:pPr>
            <w:r>
              <w:rPr>
                <w:color w:val="0E1422"/>
                <w:sz w:val="19"/>
              </w:rPr>
              <w:t>9 years remaining at acquisition close (Year 1 of hold = 2027)</w:t>
            </w:r>
          </w:p>
        </w:tc>
      </w:tr>
    </w:tbl>
    <w:p>
      <w:pPr>
        <w:spacing w:before="160" w:after="40"/>
        <w:pBdr>
          <w:bottom w:val="single" w:sz="4" w:color="D9DEE7" w:space="2"/>
        </w:pBdr>
      </w:pPr>
      <w:r>
        <w:rPr>
          <w:b/>
          <w:color w:val="19273C"/>
          <w:sz w:val="21"/>
        </w:rPr>
        <w:t>AMENDMENTS &amp; LEASE HISTORY  (TERMS ABOVE ARE CONSOLIDATED/CURRENT)</w:t>
      </w:r>
    </w:p>
    <w:tbl>
      <w:tblPr>
        <w:tblStyle w:val="LightGrid-Accent1"/>
        <w:tblW w:type="auto" w:w="0"/>
        <w:jc w:val="left"/>
        <w:tblLook w:firstColumn="1" w:firstRow="1" w:lastColumn="0" w:lastRow="0" w:noHBand="0" w:noVBand="1" w:val="04A0"/>
      </w:tblPr>
      <w:tblGrid>
        <w:gridCol w:w="2556"/>
        <w:gridCol w:w="2556"/>
        <w:gridCol w:w="2556"/>
        <w:gridCol w:w="2556"/>
      </w:tblGrid>
      <w:tr>
        <w:tc>
          <w:tcPr>
            <w:tcW w:type="dxa" w:w="2592"/>
            <w:shd w:val="clear" w:color="auto" w:fill="F2F4F7"/>
          </w:tcPr>
          <w:p>
            <w:r>
              <w:rPr>
                <w:b/>
                <w:color w:val="19273C"/>
                <w:sz w:val="17"/>
              </w:rPr>
              <w:t>Document</w:t>
            </w:r>
          </w:p>
        </w:tc>
        <w:tc>
          <w:tcPr>
            <w:tcW w:type="dxa" w:w="1440"/>
            <w:shd w:val="clear" w:color="auto" w:fill="F2F4F7"/>
          </w:tcPr>
          <w:p>
            <w:r>
              <w:rPr>
                <w:b/>
                <w:color w:val="19273C"/>
                <w:sz w:val="17"/>
              </w:rPr>
              <w:t>Date</w:t>
            </w:r>
          </w:p>
        </w:tc>
        <w:tc>
          <w:tcPr>
            <w:tcW w:type="dxa" w:w="4752"/>
            <w:shd w:val="clear" w:color="auto" w:fill="F2F4F7"/>
          </w:tcPr>
          <w:p>
            <w:r>
              <w:rPr>
                <w:b/>
                <w:color w:val="19273C"/>
                <w:sz w:val="17"/>
              </w:rPr>
              <w:t>What it changed</w:t>
            </w:r>
          </w:p>
        </w:tc>
        <w:tc>
          <w:tcPr>
            <w:tcW w:type="dxa" w:w="1296"/>
            <w:shd w:val="clear" w:color="auto" w:fill="F2F4F7"/>
          </w:tcPr>
          <w:p>
            <w:r>
              <w:rPr>
                <w:b/>
                <w:color w:val="19273C"/>
                <w:sz w:val="17"/>
              </w:rPr>
              <w:t>Ref</w:t>
            </w:r>
          </w:p>
        </w:tc>
      </w:tr>
      <w:tr>
        <w:tc>
          <w:tcPr>
            <w:tcW w:type="dxa" w:w="2592"/>
          </w:tcPr>
          <w:p>
            <w:pPr>
              <w:spacing w:after="0"/>
            </w:pPr>
            <w:r>
              <w:rPr>
                <w:color w:val="0E1422"/>
                <w:sz w:val="17"/>
              </w:rPr>
              <w:t>First Amendment</w:t>
            </w:r>
          </w:p>
        </w:tc>
        <w:tc>
          <w:tcPr>
            <w:tcW w:type="dxa" w:w="1440"/>
          </w:tcPr>
          <w:p>
            <w:pPr>
              <w:spacing w:after="0"/>
            </w:pPr>
            <w:r>
              <w:rPr>
                <w:color w:val="0E1422"/>
                <w:sz w:val="17"/>
              </w:rPr>
              <w:t>March 15, 2021</w:t>
            </w:r>
          </w:p>
        </w:tc>
        <w:tc>
          <w:tcPr>
            <w:tcW w:type="dxa" w:w="4752"/>
          </w:tcPr>
          <w:p>
            <w:pPr>
              <w:spacing w:after="0"/>
            </w:pPr>
            <w:r>
              <w:rPr>
                <w:color w:val="0E1422"/>
                <w:sz w:val="17"/>
              </w:rPr>
              <w:t>Modified rent escalation from 1.5% to 2.0% annually, effective with the January 1, 2022 anniversary</w:t>
            </w:r>
          </w:p>
        </w:tc>
        <w:tc>
          <w:tcPr>
            <w:tcW w:type="dxa" w:w="1296"/>
          </w:tcPr>
          <w:p>
            <w:pPr>
              <w:spacing w:after="0"/>
            </w:pPr>
            <w:r>
              <w:rPr>
                <w:color w:val="0E1422"/>
                <w:sz w:val="17"/>
              </w:rPr>
              <w:t>First Amendment §1</w:t>
            </w:r>
          </w:p>
        </w:tc>
      </w:tr>
    </w:tbl>
    <w:p>
      <w:pPr>
        <w:spacing w:before="160" w:after="40"/>
        <w:pBdr>
          <w:bottom w:val="single" w:sz="4" w:color="D9DEE7" w:space="2"/>
        </w:pBdr>
      </w:pPr>
      <w:r>
        <w:rPr>
          <w:b/>
          <w:color w:val="19273C"/>
          <w:sz w:val="21"/>
        </w:rPr>
        <w:t>BASE RENT SCHEDULE  (FULL TERM)</w:t>
      </w:r>
    </w:p>
    <w:tbl>
      <w:tblPr>
        <w:tblStyle w:val="LightGrid-Accent1"/>
        <w:tblW w:type="auto" w:w="0"/>
        <w:jc w:val="left"/>
        <w:tblLook w:firstColumn="1" w:firstRow="1" w:lastColumn="0" w:lastRow="0" w:noHBand="0" w:noVBand="1" w:val="04A0"/>
      </w:tblPr>
      <w:tblGrid>
        <w:gridCol w:w="2045"/>
        <w:gridCol w:w="2045"/>
        <w:gridCol w:w="2045"/>
        <w:gridCol w:w="2045"/>
        <w:gridCol w:w="2045"/>
      </w:tblGrid>
      <w:tr>
        <w:tc>
          <w:tcPr>
            <w:tcW w:type="dxa" w:w="3456"/>
            <w:shd w:val="clear" w:color="auto" w:fill="F2F4F7"/>
          </w:tcPr>
          <w:p>
            <w:r>
              <w:rPr>
                <w:b/>
                <w:color w:val="19273C"/>
                <w:sz w:val="17"/>
              </w:rPr>
              <w:t>Period</w:t>
            </w:r>
          </w:p>
        </w:tc>
        <w:tc>
          <w:tcPr>
            <w:tcW w:type="dxa" w:w="1584"/>
            <w:shd w:val="clear" w:color="auto" w:fill="F2F4F7"/>
          </w:tcPr>
          <w:p>
            <w:r>
              <w:rPr>
                <w:b/>
                <w:color w:val="19273C"/>
                <w:sz w:val="17"/>
              </w:rPr>
              <w:t>Monthly</w:t>
            </w:r>
          </w:p>
        </w:tc>
        <w:tc>
          <w:tcPr>
            <w:tcW w:type="dxa" w:w="1728"/>
            <w:shd w:val="clear" w:color="auto" w:fill="F2F4F7"/>
          </w:tcPr>
          <w:p>
            <w:r>
              <w:rPr>
                <w:b/>
                <w:color w:val="19273C"/>
                <w:sz w:val="17"/>
              </w:rPr>
              <w:t>Annual</w:t>
            </w:r>
          </w:p>
        </w:tc>
        <w:tc>
          <w:tcPr>
            <w:tcW w:type="dxa" w:w="1296"/>
            <w:shd w:val="clear" w:color="auto" w:fill="F2F4F7"/>
          </w:tcPr>
          <w:p>
            <w:r>
              <w:rPr>
                <w:b/>
                <w:color w:val="19273C"/>
                <w:sz w:val="17"/>
              </w:rPr>
              <w:t>$/SF</w:t>
            </w:r>
          </w:p>
        </w:tc>
        <w:tc>
          <w:tcPr>
            <w:tcW w:type="dxa" w:w="1872"/>
            <w:shd w:val="clear" w:color="auto" w:fill="F2F4F7"/>
          </w:tcPr>
          <w:p>
            <w:r>
              <w:rPr>
                <w:b/>
                <w:color w:val="19273C"/>
                <w:sz w:val="17"/>
              </w:rPr>
              <w:t>Lease Ref</w:t>
            </w:r>
          </w:p>
        </w:tc>
      </w:tr>
      <w:tr>
        <w:tc>
          <w:tcPr>
            <w:tcW w:type="dxa" w:w="3456"/>
          </w:tcPr>
          <w:p>
            <w:pPr>
              <w:spacing w:after="0"/>
            </w:pPr>
            <w:r>
              <w:rPr>
                <w:color w:val="0E1422"/>
                <w:sz w:val="17"/>
              </w:rPr>
              <w:t>Jan 1, 2027 — Dec 31, 2027 (Year 1 of hold)</w:t>
            </w:r>
          </w:p>
        </w:tc>
        <w:tc>
          <w:tcPr>
            <w:tcW w:type="dxa" w:w="1584"/>
          </w:tcPr>
          <w:p>
            <w:pPr>
              <w:spacing w:after="0"/>
            </w:pPr>
            <w:r>
              <w:rPr>
                <w:color w:val="0E1422"/>
                <w:sz w:val="17"/>
              </w:rPr>
              <w:t>$69,333</w:t>
            </w:r>
          </w:p>
        </w:tc>
        <w:tc>
          <w:tcPr>
            <w:tcW w:type="dxa" w:w="1728"/>
          </w:tcPr>
          <w:p>
            <w:pPr>
              <w:spacing w:after="0"/>
            </w:pPr>
            <w:r>
              <w:rPr>
                <w:color w:val="0E1422"/>
                <w:sz w:val="17"/>
              </w:rPr>
              <w:t>$832,000</w:t>
            </w:r>
          </w:p>
        </w:tc>
        <w:tc>
          <w:tcPr>
            <w:tcW w:type="dxa" w:w="1296"/>
          </w:tcPr>
          <w:p>
            <w:pPr>
              <w:spacing w:after="0"/>
            </w:pPr>
            <w:r>
              <w:rPr>
                <w:color w:val="0E1422"/>
                <w:sz w:val="17"/>
              </w:rPr>
              <w:t>$9.79</w:t>
            </w:r>
          </w:p>
        </w:tc>
        <w:tc>
          <w:tcPr>
            <w:tcW w:type="dxa" w:w="1872"/>
          </w:tcPr>
          <w:p>
            <w:pPr>
              <w:spacing w:after="0"/>
            </w:pPr>
            <w:r>
              <w:rPr>
                <w:color w:val="0E1422"/>
                <w:sz w:val="17"/>
              </w:rPr>
              <w:t>Lease §3.1 + First Amendment §1</w:t>
            </w:r>
          </w:p>
        </w:tc>
      </w:tr>
      <w:tr>
        <w:tc>
          <w:tcPr>
            <w:tcW w:type="dxa" w:w="3456"/>
          </w:tcPr>
          <w:p>
            <w:pPr>
              <w:spacing w:after="0"/>
            </w:pPr>
            <w:r>
              <w:rPr>
                <w:color w:val="0E1422"/>
                <w:sz w:val="17"/>
              </w:rPr>
              <w:t>Jan 1, 2028 — Dec 31, 2028</w:t>
            </w:r>
          </w:p>
        </w:tc>
        <w:tc>
          <w:tcPr>
            <w:tcW w:type="dxa" w:w="1584"/>
          </w:tcPr>
          <w:p>
            <w:pPr>
              <w:spacing w:after="0"/>
            </w:pPr>
            <w:r>
              <w:rPr>
                <w:color w:val="0E1422"/>
                <w:sz w:val="17"/>
              </w:rPr>
              <w:t>$70,720</w:t>
            </w:r>
          </w:p>
        </w:tc>
        <w:tc>
          <w:tcPr>
            <w:tcW w:type="dxa" w:w="1728"/>
          </w:tcPr>
          <w:p>
            <w:pPr>
              <w:spacing w:after="0"/>
            </w:pPr>
            <w:r>
              <w:rPr>
                <w:color w:val="0E1422"/>
                <w:sz w:val="17"/>
              </w:rPr>
              <w:t>$848,640</w:t>
            </w:r>
          </w:p>
        </w:tc>
        <w:tc>
          <w:tcPr>
            <w:tcW w:type="dxa" w:w="1296"/>
          </w:tcPr>
          <w:p>
            <w:pPr>
              <w:spacing w:after="0"/>
            </w:pPr>
            <w:r>
              <w:rPr>
                <w:color w:val="0E1422"/>
                <w:sz w:val="17"/>
              </w:rPr>
              <w:t>$9.98</w:t>
            </w:r>
          </w:p>
        </w:tc>
        <w:tc>
          <w:tcPr>
            <w:tcW w:type="dxa" w:w="1872"/>
          </w:tcPr>
          <w:p>
            <w:pPr>
              <w:spacing w:after="0"/>
            </w:pPr>
            <w:r>
              <w:rPr>
                <w:color w:val="0E1422"/>
                <w:sz w:val="17"/>
              </w:rPr>
              <w:t>Lease §3.1 + First Amendment §1</w:t>
            </w:r>
          </w:p>
        </w:tc>
      </w:tr>
      <w:tr>
        <w:tc>
          <w:tcPr>
            <w:tcW w:type="dxa" w:w="3456"/>
          </w:tcPr>
          <w:p>
            <w:pPr>
              <w:spacing w:after="0"/>
            </w:pPr>
            <w:r>
              <w:rPr>
                <w:color w:val="0E1422"/>
                <w:sz w:val="17"/>
              </w:rPr>
              <w:t>Jan 1, 2029 — Dec 31, 2029</w:t>
            </w:r>
          </w:p>
        </w:tc>
        <w:tc>
          <w:tcPr>
            <w:tcW w:type="dxa" w:w="1584"/>
          </w:tcPr>
          <w:p>
            <w:pPr>
              <w:spacing w:after="0"/>
            </w:pPr>
            <w:r>
              <w:rPr>
                <w:color w:val="0E1422"/>
                <w:sz w:val="17"/>
              </w:rPr>
              <w:t>$72,134</w:t>
            </w:r>
          </w:p>
        </w:tc>
        <w:tc>
          <w:tcPr>
            <w:tcW w:type="dxa" w:w="1728"/>
          </w:tcPr>
          <w:p>
            <w:pPr>
              <w:spacing w:after="0"/>
            </w:pPr>
            <w:r>
              <w:rPr>
                <w:color w:val="0E1422"/>
                <w:sz w:val="17"/>
              </w:rPr>
              <w:t>$865,613</w:t>
            </w:r>
          </w:p>
        </w:tc>
        <w:tc>
          <w:tcPr>
            <w:tcW w:type="dxa" w:w="1296"/>
          </w:tcPr>
          <w:p>
            <w:pPr>
              <w:spacing w:after="0"/>
            </w:pPr>
            <w:r>
              <w:rPr>
                <w:color w:val="0E1422"/>
                <w:sz w:val="17"/>
              </w:rPr>
              <w:t>$10.18</w:t>
            </w:r>
          </w:p>
        </w:tc>
        <w:tc>
          <w:tcPr>
            <w:tcW w:type="dxa" w:w="1872"/>
          </w:tcPr>
          <w:p>
            <w:pPr>
              <w:spacing w:after="0"/>
            </w:pPr>
            <w:r>
              <w:rPr>
                <w:color w:val="0E1422"/>
                <w:sz w:val="17"/>
              </w:rPr>
              <w:t>Lease §3.1 + First Amendment §1</w:t>
            </w:r>
          </w:p>
        </w:tc>
      </w:tr>
      <w:tr>
        <w:tc>
          <w:tcPr>
            <w:tcW w:type="dxa" w:w="3456"/>
          </w:tcPr>
          <w:p>
            <w:pPr>
              <w:spacing w:after="0"/>
            </w:pPr>
            <w:r>
              <w:rPr>
                <w:color w:val="0E1422"/>
                <w:sz w:val="17"/>
              </w:rPr>
              <w:t>Jan 1, 2030 — Dec 31, 2030</w:t>
            </w:r>
          </w:p>
        </w:tc>
        <w:tc>
          <w:tcPr>
            <w:tcW w:type="dxa" w:w="1584"/>
          </w:tcPr>
          <w:p>
            <w:pPr>
              <w:spacing w:after="0"/>
            </w:pPr>
            <w:r>
              <w:rPr>
                <w:color w:val="0E1422"/>
                <w:sz w:val="17"/>
              </w:rPr>
              <w:t>$73,577</w:t>
            </w:r>
          </w:p>
        </w:tc>
        <w:tc>
          <w:tcPr>
            <w:tcW w:type="dxa" w:w="1728"/>
          </w:tcPr>
          <w:p>
            <w:pPr>
              <w:spacing w:after="0"/>
            </w:pPr>
            <w:r>
              <w:rPr>
                <w:color w:val="0E1422"/>
                <w:sz w:val="17"/>
              </w:rPr>
              <w:t>$882,925</w:t>
            </w:r>
          </w:p>
        </w:tc>
        <w:tc>
          <w:tcPr>
            <w:tcW w:type="dxa" w:w="1296"/>
          </w:tcPr>
          <w:p>
            <w:pPr>
              <w:spacing w:after="0"/>
            </w:pPr>
            <w:r>
              <w:rPr>
                <w:color w:val="0E1422"/>
                <w:sz w:val="17"/>
              </w:rPr>
              <w:t>$10.39</w:t>
            </w:r>
          </w:p>
        </w:tc>
        <w:tc>
          <w:tcPr>
            <w:tcW w:type="dxa" w:w="1872"/>
          </w:tcPr>
          <w:p>
            <w:pPr>
              <w:spacing w:after="0"/>
            </w:pPr>
            <w:r>
              <w:rPr>
                <w:color w:val="0E1422"/>
                <w:sz w:val="17"/>
              </w:rPr>
              <w:t>Lease §3.1 + First Amendment §1</w:t>
            </w:r>
          </w:p>
        </w:tc>
      </w:tr>
      <w:tr>
        <w:tc>
          <w:tcPr>
            <w:tcW w:type="dxa" w:w="3456"/>
          </w:tcPr>
          <w:p>
            <w:pPr>
              <w:spacing w:after="0"/>
            </w:pPr>
            <w:r>
              <w:rPr>
                <w:color w:val="0E1422"/>
                <w:sz w:val="17"/>
              </w:rPr>
              <w:t>Jan 1, 2031 — Dec 31, 2031</w:t>
            </w:r>
          </w:p>
        </w:tc>
        <w:tc>
          <w:tcPr>
            <w:tcW w:type="dxa" w:w="1584"/>
          </w:tcPr>
          <w:p>
            <w:pPr>
              <w:spacing w:after="0"/>
            </w:pPr>
            <w:r>
              <w:rPr>
                <w:color w:val="0E1422"/>
                <w:sz w:val="17"/>
              </w:rPr>
              <w:t>$75,049</w:t>
            </w:r>
          </w:p>
        </w:tc>
        <w:tc>
          <w:tcPr>
            <w:tcW w:type="dxa" w:w="1728"/>
          </w:tcPr>
          <w:p>
            <w:pPr>
              <w:spacing w:after="0"/>
            </w:pPr>
            <w:r>
              <w:rPr>
                <w:color w:val="0E1422"/>
                <w:sz w:val="17"/>
              </w:rPr>
              <w:t>$900,584</w:t>
            </w:r>
          </w:p>
        </w:tc>
        <w:tc>
          <w:tcPr>
            <w:tcW w:type="dxa" w:w="1296"/>
          </w:tcPr>
          <w:p>
            <w:pPr>
              <w:spacing w:after="0"/>
            </w:pPr>
            <w:r>
              <w:rPr>
                <w:color w:val="0E1422"/>
                <w:sz w:val="17"/>
              </w:rPr>
              <w:t>$10.59</w:t>
            </w:r>
          </w:p>
        </w:tc>
        <w:tc>
          <w:tcPr>
            <w:tcW w:type="dxa" w:w="1872"/>
          </w:tcPr>
          <w:p>
            <w:pPr>
              <w:spacing w:after="0"/>
            </w:pPr>
            <w:r>
              <w:rPr>
                <w:color w:val="0E1422"/>
                <w:sz w:val="17"/>
              </w:rPr>
              <w:t>Lease §3.1 + First Amendment §1</w:t>
            </w:r>
          </w:p>
        </w:tc>
      </w:tr>
      <w:tr>
        <w:tc>
          <w:tcPr>
            <w:tcW w:type="dxa" w:w="3456"/>
          </w:tcPr>
          <w:p>
            <w:pPr>
              <w:spacing w:after="0"/>
            </w:pPr>
            <w:r>
              <w:rPr>
                <w:color w:val="0E1422"/>
                <w:sz w:val="17"/>
              </w:rPr>
              <w:t>Jan 1, 2032 — Dec 31, 2032</w:t>
            </w:r>
          </w:p>
        </w:tc>
        <w:tc>
          <w:tcPr>
            <w:tcW w:type="dxa" w:w="1584"/>
          </w:tcPr>
          <w:p>
            <w:pPr>
              <w:spacing w:after="0"/>
            </w:pPr>
            <w:r>
              <w:rPr>
                <w:color w:val="0E1422"/>
                <w:sz w:val="17"/>
              </w:rPr>
              <w:t>$76,550</w:t>
            </w:r>
          </w:p>
        </w:tc>
        <w:tc>
          <w:tcPr>
            <w:tcW w:type="dxa" w:w="1728"/>
          </w:tcPr>
          <w:p>
            <w:pPr>
              <w:spacing w:after="0"/>
            </w:pPr>
            <w:r>
              <w:rPr>
                <w:color w:val="0E1422"/>
                <w:sz w:val="17"/>
              </w:rPr>
              <w:t>$918,595</w:t>
            </w:r>
          </w:p>
        </w:tc>
        <w:tc>
          <w:tcPr>
            <w:tcW w:type="dxa" w:w="1296"/>
          </w:tcPr>
          <w:p>
            <w:pPr>
              <w:spacing w:after="0"/>
            </w:pPr>
            <w:r>
              <w:rPr>
                <w:color w:val="0E1422"/>
                <w:sz w:val="17"/>
              </w:rPr>
              <w:t>$10.81</w:t>
            </w:r>
          </w:p>
        </w:tc>
        <w:tc>
          <w:tcPr>
            <w:tcW w:type="dxa" w:w="1872"/>
          </w:tcPr>
          <w:p>
            <w:pPr>
              <w:spacing w:after="0"/>
            </w:pPr>
            <w:r>
              <w:rPr>
                <w:color w:val="0E1422"/>
                <w:sz w:val="17"/>
              </w:rPr>
              <w:t>Lease §3.1 + First Amendment §1</w:t>
            </w:r>
          </w:p>
        </w:tc>
      </w:tr>
      <w:tr>
        <w:tc>
          <w:tcPr>
            <w:tcW w:type="dxa" w:w="3456"/>
          </w:tcPr>
          <w:p>
            <w:pPr>
              <w:spacing w:after="0"/>
            </w:pPr>
            <w:r>
              <w:rPr>
                <w:color w:val="0E1422"/>
                <w:sz w:val="17"/>
              </w:rPr>
              <w:t>Jan 1, 2033 — Dec 31, 2033</w:t>
            </w:r>
          </w:p>
        </w:tc>
        <w:tc>
          <w:tcPr>
            <w:tcW w:type="dxa" w:w="1584"/>
          </w:tcPr>
          <w:p>
            <w:pPr>
              <w:spacing w:after="0"/>
            </w:pPr>
            <w:r>
              <w:rPr>
                <w:color w:val="0E1422"/>
                <w:sz w:val="17"/>
              </w:rPr>
              <w:t>$78,081</w:t>
            </w:r>
          </w:p>
        </w:tc>
        <w:tc>
          <w:tcPr>
            <w:tcW w:type="dxa" w:w="1728"/>
          </w:tcPr>
          <w:p>
            <w:pPr>
              <w:spacing w:after="0"/>
            </w:pPr>
            <w:r>
              <w:rPr>
                <w:color w:val="0E1422"/>
                <w:sz w:val="17"/>
              </w:rPr>
              <w:t>$936,967</w:t>
            </w:r>
          </w:p>
        </w:tc>
        <w:tc>
          <w:tcPr>
            <w:tcW w:type="dxa" w:w="1296"/>
          </w:tcPr>
          <w:p>
            <w:pPr>
              <w:spacing w:after="0"/>
            </w:pPr>
            <w:r>
              <w:rPr>
                <w:color w:val="0E1422"/>
                <w:sz w:val="17"/>
              </w:rPr>
              <w:t>$11.02</w:t>
            </w:r>
          </w:p>
        </w:tc>
        <w:tc>
          <w:tcPr>
            <w:tcW w:type="dxa" w:w="1872"/>
          </w:tcPr>
          <w:p>
            <w:pPr>
              <w:spacing w:after="0"/>
            </w:pPr>
            <w:r>
              <w:rPr>
                <w:color w:val="0E1422"/>
                <w:sz w:val="17"/>
              </w:rPr>
              <w:t>Lease §3.1 + First Amendment §1</w:t>
            </w:r>
          </w:p>
        </w:tc>
      </w:tr>
      <w:tr>
        <w:tc>
          <w:tcPr>
            <w:tcW w:type="dxa" w:w="3456"/>
          </w:tcPr>
          <w:p>
            <w:pPr>
              <w:spacing w:after="0"/>
            </w:pPr>
            <w:r>
              <w:rPr>
                <w:color w:val="0E1422"/>
                <w:sz w:val="17"/>
              </w:rPr>
              <w:t>Jan 1, 2034 — Dec 31, 2034 (Expiration)</w:t>
            </w:r>
          </w:p>
        </w:tc>
        <w:tc>
          <w:tcPr>
            <w:tcW w:type="dxa" w:w="1584"/>
          </w:tcPr>
          <w:p>
            <w:pPr>
              <w:spacing w:after="0"/>
            </w:pPr>
            <w:r>
              <w:rPr>
                <w:color w:val="0E1422"/>
                <w:sz w:val="17"/>
              </w:rPr>
              <w:t>$79,643</w:t>
            </w:r>
          </w:p>
        </w:tc>
        <w:tc>
          <w:tcPr>
            <w:tcW w:type="dxa" w:w="1728"/>
          </w:tcPr>
          <w:p>
            <w:pPr>
              <w:spacing w:after="0"/>
            </w:pPr>
            <w:r>
              <w:rPr>
                <w:color w:val="0E1422"/>
                <w:sz w:val="17"/>
              </w:rPr>
              <w:t>$955,706</w:t>
            </w:r>
          </w:p>
        </w:tc>
        <w:tc>
          <w:tcPr>
            <w:tcW w:type="dxa" w:w="1296"/>
          </w:tcPr>
          <w:p>
            <w:pPr>
              <w:spacing w:after="0"/>
            </w:pPr>
            <w:r>
              <w:rPr>
                <w:color w:val="0E1422"/>
                <w:sz w:val="17"/>
              </w:rPr>
              <w:t>$11.24</w:t>
            </w:r>
          </w:p>
        </w:tc>
        <w:tc>
          <w:tcPr>
            <w:tcW w:type="dxa" w:w="1872"/>
          </w:tcPr>
          <w:p>
            <w:pPr>
              <w:spacing w:after="0"/>
            </w:pPr>
            <w:r>
              <w:rPr>
                <w:color w:val="0E1422"/>
                <w:sz w:val="17"/>
              </w:rPr>
              <w:t>Lease §3.1 + First Amendment §1</w:t>
            </w:r>
          </w:p>
        </w:tc>
      </w:tr>
    </w:tbl>
    <w:p>
      <w:pPr>
        <w:spacing w:before="160" w:after="40"/>
        <w:pBdr>
          <w:bottom w:val="single" w:sz="4" w:color="D9DEE7" w:space="2"/>
        </w:pBdr>
      </w:pPr>
      <w:r>
        <w:rPr>
          <w:b/>
          <w:color w:val="19273C"/>
          <w:sz w:val="21"/>
        </w:rPr>
        <w:t>ESCALATIONS &amp; RENEWAL OPTIONS</w:t>
      </w:r>
    </w:p>
    <w:p>
      <w:r>
        <w:rPr>
          <w:b/>
          <w:sz w:val="19"/>
        </w:rPr>
        <w:t xml:space="preserve">Escalations: </w:t>
      </w:r>
      <w:r>
        <w:rPr>
          <w:sz w:val="19"/>
        </w:rPr>
        <w:t>2.0% annual increases on each January 1 anniversary, continuing through option periods.</w:t>
      </w:r>
      <w:r>
        <w:rPr>
          <w:i/>
          <w:color w:val="6B7587"/>
          <w:sz w:val="17"/>
        </w:rPr>
        <w:t xml:space="preserve">  (First Amendment §1)</w:t>
      </w:r>
    </w:p>
    <w:tbl>
      <w:tblPr>
        <w:tblStyle w:val="LightGrid-Accent1"/>
        <w:tblW w:type="auto" w:w="0"/>
        <w:jc w:val="left"/>
        <w:tblLook w:firstColumn="1" w:firstRow="1" w:lastColumn="0" w:lastRow="0" w:noHBand="0" w:noVBand="1" w:val="04A0"/>
      </w:tblPr>
      <w:tblGrid>
        <w:gridCol w:w="2556"/>
        <w:gridCol w:w="2556"/>
        <w:gridCol w:w="2556"/>
        <w:gridCol w:w="2556"/>
      </w:tblGrid>
      <w:tr>
        <w:tc>
          <w:tcPr>
            <w:tcW w:type="dxa" w:w="2304"/>
            <w:shd w:val="clear" w:color="auto" w:fill="F2F4F7"/>
          </w:tcPr>
          <w:p>
            <w:r>
              <w:rPr>
                <w:b/>
                <w:color w:val="19273C"/>
                <w:sz w:val="17"/>
              </w:rPr>
              <w:t>Option</w:t>
            </w:r>
          </w:p>
        </w:tc>
        <w:tc>
          <w:tcPr>
            <w:tcW w:type="dxa" w:w="2592"/>
            <w:shd w:val="clear" w:color="auto" w:fill="F2F4F7"/>
          </w:tcPr>
          <w:p>
            <w:r>
              <w:rPr>
                <w:b/>
                <w:color w:val="19273C"/>
                <w:sz w:val="17"/>
              </w:rPr>
              <w:t>Term</w:t>
            </w:r>
          </w:p>
        </w:tc>
        <w:tc>
          <w:tcPr>
            <w:tcW w:type="dxa" w:w="3456"/>
            <w:shd w:val="clear" w:color="auto" w:fill="F2F4F7"/>
          </w:tcPr>
          <w:p>
            <w:r>
              <w:rPr>
                <w:b/>
                <w:color w:val="19273C"/>
                <w:sz w:val="17"/>
              </w:rPr>
              <w:t>Rent Basis</w:t>
            </w:r>
          </w:p>
        </w:tc>
        <w:tc>
          <w:tcPr>
            <w:tcW w:type="dxa" w:w="1728"/>
            <w:shd w:val="clear" w:color="auto" w:fill="F2F4F7"/>
          </w:tcPr>
          <w:p>
            <w:r>
              <w:rPr>
                <w:b/>
                <w:color w:val="19273C"/>
                <w:sz w:val="17"/>
              </w:rPr>
              <w:t>Lease Ref</w:t>
            </w:r>
          </w:p>
        </w:tc>
      </w:tr>
      <w:tr>
        <w:tc>
          <w:tcPr>
            <w:tcW w:type="dxa" w:w="2304"/>
          </w:tcPr>
          <w:p>
            <w:pPr>
              <w:spacing w:after="0"/>
            </w:pPr>
            <w:r>
              <w:rPr>
                <w:color w:val="0E1422"/>
                <w:sz w:val="17"/>
              </w:rPr>
              <w:t>Option 1</w:t>
            </w:r>
          </w:p>
        </w:tc>
        <w:tc>
          <w:tcPr>
            <w:tcW w:type="dxa" w:w="2592"/>
          </w:tcPr>
          <w:p>
            <w:pPr>
              <w:spacing w:after="0"/>
            </w:pPr>
            <w:r>
              <w:rPr>
                <w:color w:val="0E1422"/>
                <w:sz w:val="17"/>
              </w:rPr>
              <w:t>Five (5) years (Jan 1, 2035 — Dec 31, 2039)</w:t>
            </w:r>
          </w:p>
        </w:tc>
        <w:tc>
          <w:tcPr>
            <w:tcW w:type="dxa" w:w="3456"/>
          </w:tcPr>
          <w:p>
            <w:pPr>
              <w:spacing w:after="0"/>
            </w:pPr>
            <w:r>
              <w:rPr>
                <w:color w:val="0E1422"/>
                <w:sz w:val="17"/>
              </w:rPr>
              <w:t>10% bump from then-current rent, then 2.0% annual escalations within option period</w:t>
            </w:r>
          </w:p>
        </w:tc>
        <w:tc>
          <w:tcPr>
            <w:tcW w:type="dxa" w:w="1728"/>
          </w:tcPr>
          <w:p>
            <w:pPr>
              <w:spacing w:after="0"/>
            </w:pPr>
            <w:r>
              <w:rPr>
                <w:color w:val="0E1422"/>
                <w:sz w:val="17"/>
              </w:rPr>
              <w:t>Lease §22</w:t>
            </w:r>
          </w:p>
        </w:tc>
      </w:tr>
      <w:tr>
        <w:tc>
          <w:tcPr>
            <w:tcW w:type="dxa" w:w="2304"/>
          </w:tcPr>
          <w:p>
            <w:pPr>
              <w:spacing w:after="0"/>
            </w:pPr>
            <w:r>
              <w:rPr>
                <w:color w:val="0E1422"/>
                <w:sz w:val="17"/>
              </w:rPr>
              <w:t>Option 2</w:t>
            </w:r>
          </w:p>
        </w:tc>
        <w:tc>
          <w:tcPr>
            <w:tcW w:type="dxa" w:w="2592"/>
          </w:tcPr>
          <w:p>
            <w:pPr>
              <w:spacing w:after="0"/>
            </w:pPr>
            <w:r>
              <w:rPr>
                <w:color w:val="0E1422"/>
                <w:sz w:val="17"/>
              </w:rPr>
              <w:t>Five (5) years (Jan 1, 2040 — Dec 31, 2044)</w:t>
            </w:r>
          </w:p>
        </w:tc>
        <w:tc>
          <w:tcPr>
            <w:tcW w:type="dxa" w:w="3456"/>
          </w:tcPr>
          <w:p>
            <w:pPr>
              <w:spacing w:after="0"/>
            </w:pPr>
            <w:r>
              <w:rPr>
                <w:color w:val="0E1422"/>
                <w:sz w:val="17"/>
              </w:rPr>
              <w:t>10% bump from then-current rent, then 2.0% annual escalations within option period</w:t>
            </w:r>
          </w:p>
        </w:tc>
        <w:tc>
          <w:tcPr>
            <w:tcW w:type="dxa" w:w="1728"/>
          </w:tcPr>
          <w:p>
            <w:pPr>
              <w:spacing w:after="0"/>
            </w:pPr>
            <w:r>
              <w:rPr>
                <w:color w:val="0E1422"/>
                <w:sz w:val="17"/>
              </w:rPr>
              <w:t>Lease §22</w:t>
            </w:r>
          </w:p>
        </w:tc>
      </w:tr>
    </w:tbl>
    <w:p>
      <w:pPr>
        <w:spacing w:before="60"/>
      </w:pPr>
      <w:r>
        <w:rPr>
          <w:b/>
          <w:sz w:val="18"/>
        </w:rPr>
        <w:t>Option-Period Rent Schedule (non-FMV — full):</w:t>
      </w:r>
    </w:p>
    <w:tbl>
      <w:tblPr>
        <w:tblStyle w:val="LightGrid-Accent1"/>
        <w:tblW w:type="auto" w:w="0"/>
        <w:jc w:val="left"/>
        <w:tblLook w:firstColumn="1" w:firstRow="1" w:lastColumn="0" w:lastRow="0" w:noHBand="0" w:noVBand="1" w:val="04A0"/>
      </w:tblPr>
      <w:tblGrid>
        <w:gridCol w:w="2556"/>
        <w:gridCol w:w="2556"/>
        <w:gridCol w:w="2556"/>
        <w:gridCol w:w="2556"/>
      </w:tblGrid>
      <w:tr>
        <w:tc>
          <w:tcPr>
            <w:tcW w:type="dxa" w:w="3744"/>
            <w:shd w:val="clear" w:color="auto" w:fill="F2F4F7"/>
          </w:tcPr>
          <w:p>
            <w:r>
              <w:rPr>
                <w:b/>
                <w:color w:val="19273C"/>
                <w:sz w:val="17"/>
              </w:rPr>
              <w:t>Period</w:t>
            </w:r>
          </w:p>
        </w:tc>
        <w:tc>
          <w:tcPr>
            <w:tcW w:type="dxa" w:w="1872"/>
            <w:shd w:val="clear" w:color="auto" w:fill="F2F4F7"/>
          </w:tcPr>
          <w:p>
            <w:r>
              <w:rPr>
                <w:b/>
                <w:color w:val="19273C"/>
                <w:sz w:val="17"/>
              </w:rPr>
              <w:t>Monthly</w:t>
            </w:r>
          </w:p>
        </w:tc>
        <w:tc>
          <w:tcPr>
            <w:tcW w:type="dxa" w:w="2016"/>
            <w:shd w:val="clear" w:color="auto" w:fill="F2F4F7"/>
          </w:tcPr>
          <w:p>
            <w:r>
              <w:rPr>
                <w:b/>
                <w:color w:val="19273C"/>
                <w:sz w:val="17"/>
              </w:rPr>
              <w:t>Annual</w:t>
            </w:r>
          </w:p>
        </w:tc>
        <w:tc>
          <w:tcPr>
            <w:tcW w:type="dxa" w:w="1440"/>
            <w:shd w:val="clear" w:color="auto" w:fill="F2F4F7"/>
          </w:tcPr>
          <w:p>
            <w:r>
              <w:rPr>
                <w:b/>
                <w:color w:val="19273C"/>
                <w:sz w:val="17"/>
              </w:rPr>
              <w:t>$/SF</w:t>
            </w:r>
          </w:p>
        </w:tc>
      </w:tr>
      <w:tr>
        <w:tc>
          <w:tcPr>
            <w:tcW w:type="dxa" w:w="3744"/>
          </w:tcPr>
          <w:p>
            <w:pPr>
              <w:spacing w:after="0"/>
            </w:pPr>
            <w:r>
              <w:rPr>
                <w:color w:val="0E1422"/>
                <w:sz w:val="17"/>
              </w:rPr>
              <w:t>Jan 1, 2035 (Option 1, Year 1)</w:t>
            </w:r>
          </w:p>
        </w:tc>
        <w:tc>
          <w:tcPr>
            <w:tcW w:type="dxa" w:w="1872"/>
          </w:tcPr>
          <w:p>
            <w:pPr>
              <w:spacing w:after="0"/>
            </w:pPr>
            <w:r>
              <w:rPr>
                <w:color w:val="0E1422"/>
                <w:sz w:val="17"/>
              </w:rPr>
              <w:t>$87,608</w:t>
            </w:r>
          </w:p>
        </w:tc>
        <w:tc>
          <w:tcPr>
            <w:tcW w:type="dxa" w:w="2016"/>
          </w:tcPr>
          <w:p>
            <w:pPr>
              <w:spacing w:after="0"/>
            </w:pPr>
            <w:r>
              <w:rPr>
                <w:color w:val="0E1422"/>
                <w:sz w:val="17"/>
              </w:rPr>
              <w:t>$1,051,277</w:t>
            </w:r>
          </w:p>
        </w:tc>
        <w:tc>
          <w:tcPr>
            <w:tcW w:type="dxa" w:w="1440"/>
          </w:tcPr>
          <w:p>
            <w:pPr>
              <w:spacing w:after="0"/>
            </w:pPr>
            <w:r>
              <w:rPr>
                <w:color w:val="0E1422"/>
                <w:sz w:val="17"/>
              </w:rPr>
              <w:t>$12.37</w:t>
            </w:r>
          </w:p>
        </w:tc>
      </w:tr>
      <w:tr>
        <w:tc>
          <w:tcPr>
            <w:tcW w:type="dxa" w:w="3744"/>
          </w:tcPr>
          <w:p>
            <w:pPr>
              <w:spacing w:after="0"/>
            </w:pPr>
            <w:r>
              <w:rPr>
                <w:color w:val="0E1422"/>
                <w:sz w:val="17"/>
              </w:rPr>
              <w:t>Jan 1, 2036 (Option 1, Year 2)</w:t>
            </w:r>
          </w:p>
        </w:tc>
        <w:tc>
          <w:tcPr>
            <w:tcW w:type="dxa" w:w="1872"/>
          </w:tcPr>
          <w:p>
            <w:pPr>
              <w:spacing w:after="0"/>
            </w:pPr>
            <w:r>
              <w:rPr>
                <w:color w:val="0E1422"/>
                <w:sz w:val="17"/>
              </w:rPr>
              <w:t>$89,360</w:t>
            </w:r>
          </w:p>
        </w:tc>
        <w:tc>
          <w:tcPr>
            <w:tcW w:type="dxa" w:w="2016"/>
          </w:tcPr>
          <w:p>
            <w:pPr>
              <w:spacing w:after="0"/>
            </w:pPr>
            <w:r>
              <w:rPr>
                <w:color w:val="0E1422"/>
                <w:sz w:val="17"/>
              </w:rPr>
              <w:t>$1,072,302</w:t>
            </w:r>
          </w:p>
        </w:tc>
        <w:tc>
          <w:tcPr>
            <w:tcW w:type="dxa" w:w="1440"/>
          </w:tcPr>
          <w:p>
            <w:pPr>
              <w:spacing w:after="0"/>
            </w:pPr>
            <w:r>
              <w:rPr>
                <w:color w:val="0E1422"/>
                <w:sz w:val="17"/>
              </w:rPr>
              <w:t>$12.61</w:t>
            </w:r>
          </w:p>
        </w:tc>
      </w:tr>
      <w:tr>
        <w:tc>
          <w:tcPr>
            <w:tcW w:type="dxa" w:w="3744"/>
          </w:tcPr>
          <w:p>
            <w:pPr>
              <w:spacing w:after="0"/>
            </w:pPr>
            <w:r>
              <w:rPr>
                <w:color w:val="0E1422"/>
                <w:sz w:val="17"/>
              </w:rPr>
              <w:t>Jan 1, 2037 (Option 1, Year 3)</w:t>
            </w:r>
          </w:p>
        </w:tc>
        <w:tc>
          <w:tcPr>
            <w:tcW w:type="dxa" w:w="1872"/>
          </w:tcPr>
          <w:p>
            <w:pPr>
              <w:spacing w:after="0"/>
            </w:pPr>
            <w:r>
              <w:rPr>
                <w:color w:val="0E1422"/>
                <w:sz w:val="17"/>
              </w:rPr>
              <w:t>$91,147</w:t>
            </w:r>
          </w:p>
        </w:tc>
        <w:tc>
          <w:tcPr>
            <w:tcW w:type="dxa" w:w="2016"/>
          </w:tcPr>
          <w:p>
            <w:pPr>
              <w:spacing w:after="0"/>
            </w:pPr>
            <w:r>
              <w:rPr>
                <w:color w:val="0E1422"/>
                <w:sz w:val="17"/>
              </w:rPr>
              <w:t>$1,093,748</w:t>
            </w:r>
          </w:p>
        </w:tc>
        <w:tc>
          <w:tcPr>
            <w:tcW w:type="dxa" w:w="1440"/>
          </w:tcPr>
          <w:p>
            <w:pPr>
              <w:spacing w:after="0"/>
            </w:pPr>
            <w:r>
              <w:rPr>
                <w:color w:val="0E1422"/>
                <w:sz w:val="17"/>
              </w:rPr>
              <w:t>$12.87</w:t>
            </w:r>
          </w:p>
        </w:tc>
      </w:tr>
      <w:tr>
        <w:tc>
          <w:tcPr>
            <w:tcW w:type="dxa" w:w="3744"/>
          </w:tcPr>
          <w:p>
            <w:pPr>
              <w:spacing w:after="0"/>
            </w:pPr>
            <w:r>
              <w:rPr>
                <w:color w:val="0E1422"/>
                <w:sz w:val="17"/>
              </w:rPr>
              <w:t>Jan 1, 2038 (Option 1, Year 4)</w:t>
            </w:r>
          </w:p>
        </w:tc>
        <w:tc>
          <w:tcPr>
            <w:tcW w:type="dxa" w:w="1872"/>
          </w:tcPr>
          <w:p>
            <w:pPr>
              <w:spacing w:after="0"/>
            </w:pPr>
            <w:r>
              <w:rPr>
                <w:color w:val="0E1422"/>
                <w:sz w:val="17"/>
              </w:rPr>
              <w:t>$92,970</w:t>
            </w:r>
          </w:p>
        </w:tc>
        <w:tc>
          <w:tcPr>
            <w:tcW w:type="dxa" w:w="2016"/>
          </w:tcPr>
          <w:p>
            <w:pPr>
              <w:spacing w:after="0"/>
            </w:pPr>
            <w:r>
              <w:rPr>
                <w:color w:val="0E1422"/>
                <w:sz w:val="17"/>
              </w:rPr>
              <w:t>$1,115,623</w:t>
            </w:r>
          </w:p>
        </w:tc>
        <w:tc>
          <w:tcPr>
            <w:tcW w:type="dxa" w:w="1440"/>
          </w:tcPr>
          <w:p>
            <w:pPr>
              <w:spacing w:after="0"/>
            </w:pPr>
            <w:r>
              <w:rPr>
                <w:color w:val="0E1422"/>
                <w:sz w:val="17"/>
              </w:rPr>
              <w:t>$13.13</w:t>
            </w:r>
          </w:p>
        </w:tc>
      </w:tr>
      <w:tr>
        <w:tc>
          <w:tcPr>
            <w:tcW w:type="dxa" w:w="3744"/>
          </w:tcPr>
          <w:p>
            <w:pPr>
              <w:spacing w:after="0"/>
            </w:pPr>
            <w:r>
              <w:rPr>
                <w:color w:val="0E1422"/>
                <w:sz w:val="17"/>
              </w:rPr>
              <w:t>Jan 1, 2039 (Option 1, Year 5)</w:t>
            </w:r>
          </w:p>
        </w:tc>
        <w:tc>
          <w:tcPr>
            <w:tcW w:type="dxa" w:w="1872"/>
          </w:tcPr>
          <w:p>
            <w:pPr>
              <w:spacing w:after="0"/>
            </w:pPr>
            <w:r>
              <w:rPr>
                <w:color w:val="0E1422"/>
                <w:sz w:val="17"/>
              </w:rPr>
              <w:t>$94,830</w:t>
            </w:r>
          </w:p>
        </w:tc>
        <w:tc>
          <w:tcPr>
            <w:tcW w:type="dxa" w:w="2016"/>
          </w:tcPr>
          <w:p>
            <w:pPr>
              <w:spacing w:after="0"/>
            </w:pPr>
            <w:r>
              <w:rPr>
                <w:color w:val="0E1422"/>
                <w:sz w:val="17"/>
              </w:rPr>
              <w:t>$1,137,935</w:t>
            </w:r>
          </w:p>
        </w:tc>
        <w:tc>
          <w:tcPr>
            <w:tcW w:type="dxa" w:w="1440"/>
          </w:tcPr>
          <w:p>
            <w:pPr>
              <w:spacing w:after="0"/>
            </w:pPr>
            <w:r>
              <w:rPr>
                <w:color w:val="0E1422"/>
                <w:sz w:val="17"/>
              </w:rPr>
              <w:t>$13.39</w:t>
            </w:r>
          </w:p>
        </w:tc>
      </w:tr>
    </w:tbl>
    <w:p>
      <w:pPr>
        <w:spacing w:before="160" w:after="40"/>
        <w:pBdr>
          <w:bottom w:val="single" w:sz="4" w:color="D9DEE7" w:space="2"/>
        </w:pBdr>
      </w:pPr>
      <w:r>
        <w:rPr>
          <w:b/>
          <w:color w:val="19273C"/>
          <w:sz w:val="21"/>
        </w:rPr>
        <w:t>EXPENSE RESPONSIBILITIES</w:t>
      </w:r>
    </w:p>
    <w:tbl>
      <w:tblPr>
        <w:tblStyle w:val="LightGrid-Accent1"/>
        <w:tblW w:type="auto" w:w="0"/>
        <w:jc w:val="left"/>
        <w:tblLook w:firstColumn="1" w:firstRow="1" w:lastColumn="0" w:lastRow="0" w:noHBand="0" w:noVBand="1" w:val="04A0"/>
      </w:tblPr>
      <w:tblGrid>
        <w:gridCol w:w="3408"/>
        <w:gridCol w:w="3408"/>
        <w:gridCol w:w="3408"/>
      </w:tblGrid>
      <w:tr>
        <w:tc>
          <w:tcPr>
            <w:tcW w:type="dxa" w:w="2448"/>
            <w:shd w:val="clear" w:color="auto" w:fill="F2F4F7"/>
          </w:tcPr>
          <w:p>
            <w:r>
              <w:rPr>
                <w:b/>
                <w:color w:val="19273C"/>
                <w:sz w:val="17"/>
              </w:rPr>
              <w:t>Expense</w:t>
            </w:r>
          </w:p>
        </w:tc>
        <w:tc>
          <w:tcPr>
            <w:tcW w:type="dxa" w:w="5184"/>
            <w:shd w:val="clear" w:color="auto" w:fill="F2F4F7"/>
          </w:tcPr>
          <w:p>
            <w:r>
              <w:rPr>
                <w:b/>
                <w:color w:val="19273C"/>
                <w:sz w:val="17"/>
              </w:rPr>
              <w:t>Responsible Party (repair vs. replacement noted)</w:t>
            </w:r>
          </w:p>
        </w:tc>
        <w:tc>
          <w:tcPr>
            <w:tcW w:type="dxa" w:w="2016"/>
            <w:shd w:val="clear" w:color="auto" w:fill="F2F4F7"/>
          </w:tcPr>
          <w:p>
            <w:r>
              <w:rPr>
                <w:b/>
                <w:color w:val="19273C"/>
                <w:sz w:val="17"/>
              </w:rPr>
              <w:t>Lease Ref</w:t>
            </w:r>
          </w:p>
        </w:tc>
      </w:tr>
      <w:tr>
        <w:tc>
          <w:tcPr>
            <w:tcW w:type="dxa" w:w="2448"/>
          </w:tcPr>
          <w:p>
            <w:pPr>
              <w:spacing w:after="0"/>
            </w:pPr>
            <w:r>
              <w:rPr>
                <w:color w:val="0E1422"/>
                <w:sz w:val="17"/>
              </w:rPr>
              <w:t>Real Estate Taxes</w:t>
            </w:r>
          </w:p>
        </w:tc>
        <w:tc>
          <w:tcPr>
            <w:tcW w:type="dxa" w:w="5184"/>
          </w:tcPr>
          <w:p>
            <w:pPr>
              <w:spacing w:after="0"/>
            </w:pPr>
            <w:r>
              <w:rPr>
                <w:color w:val="0E1422"/>
                <w:sz w:val="17"/>
              </w:rPr>
              <w:t>Tenant — direct pay</w:t>
            </w:r>
          </w:p>
        </w:tc>
        <w:tc>
          <w:tcPr>
            <w:tcW w:type="dxa" w:w="2016"/>
          </w:tcPr>
          <w:p>
            <w:pPr>
              <w:spacing w:after="0"/>
            </w:pPr>
            <w:r>
              <w:rPr>
                <w:color w:val="0E1422"/>
                <w:sz w:val="17"/>
              </w:rPr>
              <w:t>Lease §6.1</w:t>
            </w:r>
          </w:p>
        </w:tc>
      </w:tr>
      <w:tr>
        <w:tc>
          <w:tcPr>
            <w:tcW w:type="dxa" w:w="2448"/>
          </w:tcPr>
          <w:p>
            <w:pPr>
              <w:spacing w:after="0"/>
            </w:pPr>
            <w:r>
              <w:rPr>
                <w:color w:val="0E1422"/>
                <w:sz w:val="17"/>
              </w:rPr>
              <w:t>Insurance — Property</w:t>
            </w:r>
          </w:p>
        </w:tc>
        <w:tc>
          <w:tcPr>
            <w:tcW w:type="dxa" w:w="5184"/>
          </w:tcPr>
          <w:p>
            <w:pPr>
              <w:spacing w:after="0"/>
            </w:pPr>
            <w:r>
              <w:rPr>
                <w:color w:val="0E1422"/>
                <w:sz w:val="17"/>
              </w:rPr>
              <w:t>Tenant — direct pay (procured by Tenant, names Landlord as additional insured)</w:t>
            </w:r>
          </w:p>
        </w:tc>
        <w:tc>
          <w:tcPr>
            <w:tcW w:type="dxa" w:w="2016"/>
          </w:tcPr>
          <w:p>
            <w:pPr>
              <w:spacing w:after="0"/>
            </w:pPr>
            <w:r>
              <w:rPr>
                <w:color w:val="0E1422"/>
                <w:sz w:val="17"/>
              </w:rPr>
              <w:t>Lease §10.1</w:t>
            </w:r>
          </w:p>
        </w:tc>
      </w:tr>
      <w:tr>
        <w:tc>
          <w:tcPr>
            <w:tcW w:type="dxa" w:w="2448"/>
          </w:tcPr>
          <w:p>
            <w:pPr>
              <w:spacing w:after="0"/>
            </w:pPr>
            <w:r>
              <w:rPr>
                <w:color w:val="0E1422"/>
                <w:sz w:val="17"/>
              </w:rPr>
              <w:t>Insurance — Liability</w:t>
            </w:r>
          </w:p>
        </w:tc>
        <w:tc>
          <w:tcPr>
            <w:tcW w:type="dxa" w:w="5184"/>
          </w:tcPr>
          <w:p>
            <w:pPr>
              <w:spacing w:after="0"/>
            </w:pPr>
            <w:r>
              <w:rPr>
                <w:color w:val="0E1422"/>
                <w:sz w:val="17"/>
              </w:rPr>
              <w:t>Tenant — direct pay (minimum $5M each occurrence)</w:t>
            </w:r>
          </w:p>
        </w:tc>
        <w:tc>
          <w:tcPr>
            <w:tcW w:type="dxa" w:w="2016"/>
          </w:tcPr>
          <w:p>
            <w:pPr>
              <w:spacing w:after="0"/>
            </w:pPr>
            <w:r>
              <w:rPr>
                <w:color w:val="0E1422"/>
                <w:sz w:val="17"/>
              </w:rPr>
              <w:t>Lease §10.2</w:t>
            </w:r>
          </w:p>
        </w:tc>
      </w:tr>
      <w:tr>
        <w:tc>
          <w:tcPr>
            <w:tcW w:type="dxa" w:w="2448"/>
          </w:tcPr>
          <w:p>
            <w:pPr>
              <w:spacing w:after="0"/>
            </w:pPr>
            <w:r>
              <w:rPr>
                <w:color w:val="0E1422"/>
                <w:sz w:val="17"/>
              </w:rPr>
              <w:t>CAM</w:t>
            </w:r>
          </w:p>
        </w:tc>
        <w:tc>
          <w:tcPr>
            <w:tcW w:type="dxa" w:w="5184"/>
          </w:tcPr>
          <w:p>
            <w:pPr>
              <w:spacing w:after="0"/>
            </w:pPr>
            <w:r>
              <w:rPr>
                <w:color w:val="0E1422"/>
                <w:sz w:val="17"/>
              </w:rPr>
              <w:t>N/A — single-tenant building, Tenant maintains entire premises</w:t>
            </w:r>
          </w:p>
        </w:tc>
        <w:tc>
          <w:tcPr>
            <w:tcW w:type="dxa" w:w="2016"/>
          </w:tcPr>
          <w:p>
            <w:pPr>
              <w:spacing w:after="0"/>
            </w:pPr>
            <w:r>
              <w:rPr>
                <w:color w:val="0E1422"/>
                <w:sz w:val="17"/>
              </w:rPr>
              <w:t>Lease §7.1</w:t>
            </w:r>
          </w:p>
        </w:tc>
      </w:tr>
      <w:tr>
        <w:tc>
          <w:tcPr>
            <w:tcW w:type="dxa" w:w="2448"/>
          </w:tcPr>
          <w:p>
            <w:pPr>
              <w:spacing w:after="0"/>
            </w:pPr>
            <w:r>
              <w:rPr>
                <w:color w:val="0E1422"/>
                <w:sz w:val="17"/>
              </w:rPr>
              <w:t>Roof — Repair</w:t>
            </w:r>
          </w:p>
        </w:tc>
        <w:tc>
          <w:tcPr>
            <w:tcW w:type="dxa" w:w="5184"/>
          </w:tcPr>
          <w:p>
            <w:pPr>
              <w:spacing w:after="0"/>
            </w:pPr>
            <w:r>
              <w:rPr>
                <w:color w:val="0E1422"/>
                <w:sz w:val="17"/>
              </w:rPr>
              <w:t>Tenant — all routine repair and maintenance</w:t>
            </w:r>
          </w:p>
        </w:tc>
        <w:tc>
          <w:tcPr>
            <w:tcW w:type="dxa" w:w="2016"/>
          </w:tcPr>
          <w:p>
            <w:pPr>
              <w:spacing w:after="0"/>
            </w:pPr>
            <w:r>
              <w:rPr>
                <w:color w:val="0E1422"/>
                <w:sz w:val="17"/>
              </w:rPr>
              <w:t>Lease §7.2(a)</w:t>
            </w:r>
          </w:p>
        </w:tc>
      </w:tr>
      <w:tr>
        <w:tc>
          <w:tcPr>
            <w:tcW w:type="dxa" w:w="2448"/>
          </w:tcPr>
          <w:p>
            <w:pPr>
              <w:spacing w:after="0"/>
            </w:pPr>
            <w:r>
              <w:rPr>
                <w:color w:val="0E1422"/>
                <w:sz w:val="17"/>
              </w:rPr>
              <w:t>Roof — Replacement</w:t>
            </w:r>
          </w:p>
        </w:tc>
        <w:tc>
          <w:tcPr>
            <w:tcW w:type="dxa" w:w="5184"/>
          </w:tcPr>
          <w:p>
            <w:pPr>
              <w:spacing w:after="0"/>
            </w:pPr>
            <w:r>
              <w:rPr>
                <w:color w:val="0E1422"/>
                <w:sz w:val="17"/>
              </w:rPr>
              <w:t>Tenant — full replacement responsibility through initial term; reverts to Landlord during option periods</w:t>
            </w:r>
          </w:p>
        </w:tc>
        <w:tc>
          <w:tcPr>
            <w:tcW w:type="dxa" w:w="2016"/>
          </w:tcPr>
          <w:p>
            <w:pPr>
              <w:spacing w:after="0"/>
            </w:pPr>
            <w:r>
              <w:rPr>
                <w:color w:val="0E1422"/>
                <w:sz w:val="17"/>
              </w:rPr>
              <w:t>Lease §7.2(b) + §22.3</w:t>
            </w:r>
          </w:p>
        </w:tc>
      </w:tr>
      <w:tr>
        <w:tc>
          <w:tcPr>
            <w:tcW w:type="dxa" w:w="2448"/>
          </w:tcPr>
          <w:p>
            <w:pPr>
              <w:spacing w:after="0"/>
            </w:pPr>
            <w:r>
              <w:rPr>
                <w:color w:val="0E1422"/>
                <w:sz w:val="17"/>
              </w:rPr>
              <w:t>Structure — Repair</w:t>
            </w:r>
          </w:p>
        </w:tc>
        <w:tc>
          <w:tcPr>
            <w:tcW w:type="dxa" w:w="5184"/>
          </w:tcPr>
          <w:p>
            <w:pPr>
              <w:spacing w:after="0"/>
            </w:pPr>
            <w:r>
              <w:rPr>
                <w:color w:val="0E1422"/>
                <w:sz w:val="17"/>
              </w:rPr>
              <w:t>Tenant — all structural repairs (walls, foundation, slab)</w:t>
            </w:r>
          </w:p>
        </w:tc>
        <w:tc>
          <w:tcPr>
            <w:tcW w:type="dxa" w:w="2016"/>
          </w:tcPr>
          <w:p>
            <w:pPr>
              <w:spacing w:after="0"/>
            </w:pPr>
            <w:r>
              <w:rPr>
                <w:color w:val="0E1422"/>
                <w:sz w:val="17"/>
              </w:rPr>
              <w:t>Lease §7.3(a)</w:t>
            </w:r>
          </w:p>
        </w:tc>
      </w:tr>
      <w:tr>
        <w:tc>
          <w:tcPr>
            <w:tcW w:type="dxa" w:w="2448"/>
          </w:tcPr>
          <w:p>
            <w:pPr>
              <w:spacing w:after="0"/>
            </w:pPr>
            <w:r>
              <w:rPr>
                <w:color w:val="0E1422"/>
                <w:sz w:val="17"/>
              </w:rPr>
              <w:t>Structure — Replacement</w:t>
            </w:r>
          </w:p>
        </w:tc>
        <w:tc>
          <w:tcPr>
            <w:tcW w:type="dxa" w:w="5184"/>
          </w:tcPr>
          <w:p>
            <w:pPr>
              <w:spacing w:after="0"/>
            </w:pPr>
            <w:r>
              <w:rPr>
                <w:color w:val="0E1422"/>
                <w:sz w:val="17"/>
              </w:rPr>
              <w:t>Tenant — full replacement during initial term; reverts to Landlord during option periods</w:t>
            </w:r>
          </w:p>
        </w:tc>
        <w:tc>
          <w:tcPr>
            <w:tcW w:type="dxa" w:w="2016"/>
          </w:tcPr>
          <w:p>
            <w:pPr>
              <w:spacing w:after="0"/>
            </w:pPr>
            <w:r>
              <w:rPr>
                <w:color w:val="0E1422"/>
                <w:sz w:val="17"/>
              </w:rPr>
              <w:t>Lease §7.3(b) + §22.3</w:t>
            </w:r>
          </w:p>
        </w:tc>
      </w:tr>
      <w:tr>
        <w:tc>
          <w:tcPr>
            <w:tcW w:type="dxa" w:w="2448"/>
          </w:tcPr>
          <w:p>
            <w:pPr>
              <w:spacing w:after="0"/>
            </w:pPr>
            <w:r>
              <w:rPr>
                <w:color w:val="0E1422"/>
                <w:sz w:val="17"/>
              </w:rPr>
              <w:t>HVAC — Repair</w:t>
            </w:r>
          </w:p>
        </w:tc>
        <w:tc>
          <w:tcPr>
            <w:tcW w:type="dxa" w:w="5184"/>
          </w:tcPr>
          <w:p>
            <w:pPr>
              <w:spacing w:after="0"/>
            </w:pPr>
            <w:r>
              <w:rPr>
                <w:color w:val="0E1422"/>
                <w:sz w:val="17"/>
              </w:rPr>
              <w:t>Tenant — all routine repair and maintenance via service contract</w:t>
            </w:r>
          </w:p>
        </w:tc>
        <w:tc>
          <w:tcPr>
            <w:tcW w:type="dxa" w:w="2016"/>
          </w:tcPr>
          <w:p>
            <w:pPr>
              <w:spacing w:after="0"/>
            </w:pPr>
            <w:r>
              <w:rPr>
                <w:color w:val="0E1422"/>
                <w:sz w:val="17"/>
              </w:rPr>
              <w:t>Lease §7.4(a)</w:t>
            </w:r>
          </w:p>
        </w:tc>
      </w:tr>
      <w:tr>
        <w:tc>
          <w:tcPr>
            <w:tcW w:type="dxa" w:w="2448"/>
          </w:tcPr>
          <w:p>
            <w:pPr>
              <w:spacing w:after="0"/>
            </w:pPr>
            <w:r>
              <w:rPr>
                <w:color w:val="0E1422"/>
                <w:sz w:val="17"/>
              </w:rPr>
              <w:t>HVAC — Replacement</w:t>
            </w:r>
          </w:p>
        </w:tc>
        <w:tc>
          <w:tcPr>
            <w:tcW w:type="dxa" w:w="5184"/>
          </w:tcPr>
          <w:p>
            <w:pPr>
              <w:spacing w:after="0"/>
            </w:pPr>
            <w:r>
              <w:rPr>
                <w:color w:val="0E1422"/>
                <w:sz w:val="17"/>
              </w:rPr>
              <w:t>Tenant — full replacement responsibility</w:t>
            </w:r>
          </w:p>
        </w:tc>
        <w:tc>
          <w:tcPr>
            <w:tcW w:type="dxa" w:w="2016"/>
          </w:tcPr>
          <w:p>
            <w:pPr>
              <w:spacing w:after="0"/>
            </w:pPr>
            <w:r>
              <w:rPr>
                <w:color w:val="0E1422"/>
                <w:sz w:val="17"/>
              </w:rPr>
              <w:t>Lease §7.4(b)</w:t>
            </w:r>
          </w:p>
        </w:tc>
      </w:tr>
      <w:tr>
        <w:tc>
          <w:tcPr>
            <w:tcW w:type="dxa" w:w="2448"/>
          </w:tcPr>
          <w:p>
            <w:pPr>
              <w:spacing w:after="0"/>
            </w:pPr>
            <w:r>
              <w:rPr>
                <w:color w:val="0E1422"/>
                <w:sz w:val="17"/>
              </w:rPr>
              <w:t>R&amp;M (general)</w:t>
            </w:r>
          </w:p>
        </w:tc>
        <w:tc>
          <w:tcPr>
            <w:tcW w:type="dxa" w:w="5184"/>
          </w:tcPr>
          <w:p>
            <w:pPr>
              <w:spacing w:after="0"/>
            </w:pPr>
            <w:r>
              <w:rPr>
                <w:color w:val="0E1422"/>
                <w:sz w:val="17"/>
              </w:rPr>
              <w:t>Tenant — all interior and exterior maintenance</w:t>
            </w:r>
          </w:p>
        </w:tc>
        <w:tc>
          <w:tcPr>
            <w:tcW w:type="dxa" w:w="2016"/>
          </w:tcPr>
          <w:p>
            <w:pPr>
              <w:spacing w:after="0"/>
            </w:pPr>
            <w:r>
              <w:rPr>
                <w:color w:val="0E1422"/>
                <w:sz w:val="17"/>
              </w:rPr>
              <w:t>Lease §7.5</w:t>
            </w:r>
          </w:p>
        </w:tc>
      </w:tr>
      <w:tr>
        <w:tc>
          <w:tcPr>
            <w:tcW w:type="dxa" w:w="2448"/>
          </w:tcPr>
          <w:p>
            <w:pPr>
              <w:spacing w:after="0"/>
            </w:pPr>
            <w:r>
              <w:rPr>
                <w:color w:val="0E1422"/>
                <w:sz w:val="17"/>
              </w:rPr>
              <w:t>Utilities</w:t>
            </w:r>
          </w:p>
        </w:tc>
        <w:tc>
          <w:tcPr>
            <w:tcW w:type="dxa" w:w="5184"/>
          </w:tcPr>
          <w:p>
            <w:pPr>
              <w:spacing w:after="0"/>
            </w:pPr>
            <w:r>
              <w:rPr>
                <w:color w:val="0E1422"/>
                <w:sz w:val="17"/>
              </w:rPr>
              <w:t>Tenant — direct pay all utilities</w:t>
            </w:r>
          </w:p>
        </w:tc>
        <w:tc>
          <w:tcPr>
            <w:tcW w:type="dxa" w:w="2016"/>
          </w:tcPr>
          <w:p>
            <w:pPr>
              <w:spacing w:after="0"/>
            </w:pPr>
            <w:r>
              <w:rPr>
                <w:color w:val="0E1422"/>
                <w:sz w:val="17"/>
              </w:rPr>
              <w:t>Lease §8.1</w:t>
            </w:r>
          </w:p>
        </w:tc>
      </w:tr>
      <w:tr>
        <w:tc>
          <w:tcPr>
            <w:tcW w:type="dxa" w:w="2448"/>
          </w:tcPr>
          <w:p>
            <w:pPr>
              <w:spacing w:after="0"/>
            </w:pPr>
            <w:r>
              <w:rPr>
                <w:color w:val="0E1422"/>
                <w:sz w:val="17"/>
              </w:rPr>
              <w:t>Property Management</w:t>
            </w:r>
          </w:p>
        </w:tc>
        <w:tc>
          <w:tcPr>
            <w:tcW w:type="dxa" w:w="5184"/>
          </w:tcPr>
          <w:p>
            <w:pPr>
              <w:spacing w:after="0"/>
            </w:pPr>
            <w:r>
              <w:rPr>
                <w:color w:val="0E1422"/>
                <w:sz w:val="17"/>
              </w:rPr>
              <w:t>Tenant self-manages — no LL property management charged</w:t>
            </w:r>
          </w:p>
        </w:tc>
        <w:tc>
          <w:tcPr>
            <w:tcW w:type="dxa" w:w="2016"/>
          </w:tcPr>
          <w:p>
            <w:pPr>
              <w:spacing w:after="0"/>
            </w:pPr>
            <w:r>
              <w:rPr>
                <w:color w:val="0E1422"/>
                <w:sz w:val="17"/>
              </w:rPr>
              <w:t>Lease §7.6</w:t>
            </w:r>
          </w:p>
        </w:tc>
      </w:tr>
    </w:tbl>
    <w:p>
      <w:pPr>
        <w:spacing w:before="160" w:after="40"/>
        <w:pBdr>
          <w:bottom w:val="single" w:sz="4" w:color="D9DEE7" w:space="2"/>
        </w:pBdr>
      </w:pPr>
      <w:r>
        <w:rPr>
          <w:b/>
          <w:color w:val="19273C"/>
          <w:sz w:val="21"/>
        </w:rPr>
        <w:t>KEY LEASE LANGUAGE  (VERBATIM)</w:t>
      </w:r>
    </w:p>
    <w:p>
      <w:pPr>
        <w:spacing w:after="0"/>
      </w:pPr>
      <w:r>
        <w:rPr>
          <w:b/>
          <w:color w:val="0E1422"/>
          <w:sz w:val="19"/>
        </w:rPr>
        <w:t>Net Lease Structure</w:t>
      </w:r>
      <w:r>
        <w:rPr>
          <w:i/>
          <w:color w:val="6B7587"/>
          <w:sz w:val="17"/>
        </w:rPr>
        <w:t xml:space="preserve">   (Lease §5.1)</w:t>
      </w:r>
    </w:p>
    <w:p>
      <w:pPr>
        <w:spacing w:after="60"/>
        <w:ind w:left="360"/>
      </w:pPr>
      <w:r>
        <w:rPr>
          <w:i/>
          <w:color w:val="19273C"/>
          <w:sz w:val="18"/>
        </w:rPr>
        <w:t>“This Lease is intended to be an absolutely net lease and Tenant shall be responsible for the payment of all costs, expenses, and obligations of every kind and nature whatsoever, including without limitation real estate taxes, insurance, utilities, repairs, maintenance, and replacements, throughout the Term and any extensions.”</w:t>
      </w:r>
    </w:p>
    <w:p>
      <w:pPr>
        <w:spacing w:after="0"/>
      </w:pPr>
      <w:r>
        <w:rPr>
          <w:b/>
          <w:color w:val="0E1422"/>
          <w:sz w:val="19"/>
        </w:rPr>
        <w:t>Roof/Structure Reversion at Option</w:t>
      </w:r>
      <w:r>
        <w:rPr>
          <w:i/>
          <w:color w:val="6B7587"/>
          <w:sz w:val="17"/>
        </w:rPr>
        <w:t xml:space="preserve">   (Lease §22.3)</w:t>
      </w:r>
    </w:p>
    <w:p>
      <w:pPr>
        <w:spacing w:after="60"/>
        <w:ind w:left="360"/>
      </w:pPr>
      <w:r>
        <w:rPr>
          <w:i/>
          <w:color w:val="19273C"/>
          <w:sz w:val="18"/>
        </w:rPr>
        <w:t>“Notwithstanding anything to the contrary in Article 7, during any Option Term exercised by Tenant, Landlord shall be responsible for the replacement (but not routine repair or maintenance) of the roof, structural walls, foundation, and slab.”</w:t>
      </w:r>
    </w:p>
    <w:p>
      <w:pPr>
        <w:spacing w:after="0"/>
      </w:pPr>
      <w:r>
        <w:rPr>
          <w:b/>
          <w:color w:val="0E1422"/>
          <w:sz w:val="19"/>
        </w:rPr>
        <w:t>Renewal Notice Window</w:t>
      </w:r>
      <w:r>
        <w:rPr>
          <w:i/>
          <w:color w:val="6B7587"/>
          <w:sz w:val="17"/>
        </w:rPr>
        <w:t xml:space="preserve">   (Lease §22.2)</w:t>
      </w:r>
    </w:p>
    <w:p>
      <w:pPr>
        <w:spacing w:after="60"/>
        <w:ind w:left="360"/>
      </w:pPr>
      <w:r>
        <w:rPr>
          <w:i/>
          <w:color w:val="19273C"/>
          <w:sz w:val="18"/>
        </w:rPr>
        <w:t>“Tenant shall provide written notice of its election to exercise each Option Term not less than nine (9) months and not more than twelve (12) months prior to the expiration of the then-current Term.”</w:t>
      </w:r>
    </w:p>
    <w:p>
      <w:pPr>
        <w:spacing w:after="0"/>
      </w:pPr>
      <w:r>
        <w:rPr>
          <w:b/>
          <w:color w:val="0E1422"/>
          <w:sz w:val="19"/>
        </w:rPr>
        <w:t>Environmental</w:t>
      </w:r>
      <w:r>
        <w:rPr>
          <w:i/>
          <w:color w:val="6B7587"/>
          <w:sz w:val="17"/>
        </w:rPr>
        <w:t xml:space="preserve">   (Lease §15.1)</w:t>
      </w:r>
    </w:p>
    <w:p>
      <w:pPr>
        <w:spacing w:after="60"/>
        <w:ind w:left="360"/>
      </w:pPr>
      <w:r>
        <w:rPr>
          <w:i/>
          <w:color w:val="19273C"/>
          <w:sz w:val="18"/>
        </w:rPr>
        <w:t>“Tenant shall not cause or permit any Hazardous Materials to be brought upon, kept, used, stored, generated, or disposed of in, on, or about the Premises, except to the extent customary and incidental to Tenant's permitted use.”</w:t>
      </w:r>
    </w:p>
    <w:p>
      <w:pPr>
        <w:spacing w:after="0"/>
      </w:pPr>
      <w:r>
        <w:rPr>
          <w:b/>
          <w:color w:val="0E1422"/>
          <w:sz w:val="19"/>
        </w:rPr>
        <w:t>Assignment / Sublease</w:t>
      </w:r>
      <w:r>
        <w:rPr>
          <w:i/>
          <w:color w:val="6B7587"/>
          <w:sz w:val="17"/>
        </w:rPr>
        <w:t xml:space="preserve">   (Lease §17.1)</w:t>
      </w:r>
    </w:p>
    <w:p>
      <w:pPr>
        <w:spacing w:after="60"/>
        <w:ind w:left="360"/>
      </w:pPr>
      <w:r>
        <w:rPr>
          <w:i/>
          <w:color w:val="19273C"/>
          <w:sz w:val="18"/>
        </w:rPr>
        <w:t>“Tenant may assign this Lease or sublet all or any portion of the Premises only with the prior written consent of Landlord, which consent shall not be unreasonably withheld, conditioned, or delayed.”</w:t>
      </w:r>
    </w:p>
    <w:p>
      <w:pPr>
        <w:spacing w:before="160" w:after="40"/>
        <w:pBdr>
          <w:bottom w:val="single" w:sz="4" w:color="D9DEE7" w:space="2"/>
        </w:pBdr>
      </w:pPr>
      <w:r>
        <w:rPr>
          <w:b/>
          <w:color w:val="19273C"/>
          <w:sz w:val="21"/>
        </w:rPr>
        <w:t>CRITICAL DATES</w:t>
      </w:r>
    </w:p>
    <w:p>
      <w:pPr>
        <w:spacing w:after="40"/>
      </w:pPr>
      <w:r>
        <w:rPr>
          <w:b/>
          <w:color w:val="9C7B4F"/>
          <w:sz w:val="19"/>
        </w:rPr>
        <w:t xml:space="preserve">Next critical date: </w:t>
      </w:r>
      <w:r>
        <w:rPr>
          <w:color w:val="0E1422"/>
          <w:sz w:val="19"/>
        </w:rPr>
        <w:t>2027-01-01 — Year 1 of hold rent step (recurring) (in ~12 mo)</w:t>
      </w:r>
    </w:p>
    <w:tbl>
      <w:tblPr>
        <w:tblStyle w:val="LightGrid-Accent1"/>
        <w:tblW w:type="auto" w:w="0"/>
        <w:jc w:val="left"/>
        <w:tblLook w:firstColumn="1" w:firstRow="1" w:lastColumn="0" w:lastRow="0" w:noHBand="0" w:noVBand="1" w:val="04A0"/>
      </w:tblPr>
      <w:tblGrid>
        <w:gridCol w:w="2556"/>
        <w:gridCol w:w="2556"/>
        <w:gridCol w:w="2556"/>
        <w:gridCol w:w="2556"/>
      </w:tblGrid>
      <w:tr>
        <w:tc>
          <w:tcPr>
            <w:tcW w:type="dxa" w:w="1872"/>
            <w:shd w:val="clear" w:color="auto" w:fill="F2F4F7"/>
          </w:tcPr>
          <w:p>
            <w:r>
              <w:rPr>
                <w:b/>
                <w:color w:val="19273C"/>
                <w:sz w:val="17"/>
              </w:rPr>
              <w:t>Date</w:t>
            </w:r>
          </w:p>
        </w:tc>
        <w:tc>
          <w:tcPr>
            <w:tcW w:type="dxa" w:w="4896"/>
            <w:shd w:val="clear" w:color="auto" w:fill="F2F4F7"/>
          </w:tcPr>
          <w:p>
            <w:r>
              <w:rPr>
                <w:b/>
                <w:color w:val="19273C"/>
                <w:sz w:val="17"/>
              </w:rPr>
              <w:t>Event</w:t>
            </w:r>
          </w:p>
        </w:tc>
        <w:tc>
          <w:tcPr>
            <w:tcW w:type="dxa" w:w="1584"/>
            <w:shd w:val="clear" w:color="auto" w:fill="F2F4F7"/>
          </w:tcPr>
          <w:p>
            <w:r>
              <w:rPr>
                <w:b/>
                <w:color w:val="19273C"/>
                <w:sz w:val="17"/>
              </w:rPr>
              <w:t>Lease Ref</w:t>
            </w:r>
          </w:p>
        </w:tc>
        <w:tc>
          <w:tcPr>
            <w:tcW w:type="dxa" w:w="1440"/>
            <w:shd w:val="clear" w:color="auto" w:fill="F2F4F7"/>
          </w:tcPr>
          <w:p>
            <w:r>
              <w:rPr>
                <w:b/>
                <w:color w:val="19273C"/>
                <w:sz w:val="17"/>
              </w:rPr>
              <w:t>Status</w:t>
            </w:r>
          </w:p>
        </w:tc>
      </w:tr>
      <w:tr>
        <w:tc>
          <w:tcPr>
            <w:tcW w:type="dxa" w:w="1872"/>
          </w:tcPr>
          <w:p>
            <w:pPr>
              <w:spacing w:after="0"/>
            </w:pPr>
            <w:r>
              <w:rPr>
                <w:color w:val="0E1422"/>
                <w:sz w:val="17"/>
              </w:rPr>
              <w:t>2034-04-01</w:t>
            </w:r>
          </w:p>
        </w:tc>
        <w:tc>
          <w:tcPr>
            <w:tcW w:type="dxa" w:w="4896"/>
          </w:tcPr>
          <w:p>
            <w:pPr>
              <w:spacing w:after="0"/>
            </w:pPr>
            <w:r>
              <w:rPr>
                <w:color w:val="0E1422"/>
                <w:sz w:val="17"/>
              </w:rPr>
              <w:t>Outside notice deadline for Option 1 exercise (12 months before expiration)</w:t>
            </w:r>
          </w:p>
        </w:tc>
        <w:tc>
          <w:tcPr>
            <w:tcW w:type="dxa" w:w="1584"/>
          </w:tcPr>
          <w:p>
            <w:pPr>
              <w:spacing w:after="0"/>
            </w:pPr>
            <w:r>
              <w:rPr>
                <w:color w:val="0E1422"/>
                <w:sz w:val="17"/>
              </w:rPr>
              <w:t>Lease §22.2</w:t>
            </w:r>
          </w:p>
        </w:tc>
        <w:tc>
          <w:tcPr>
            <w:tcW w:type="dxa" w:w="1440"/>
          </w:tcPr>
          <w:p>
            <w:pPr>
              <w:spacing w:after="0"/>
            </w:pPr>
            <w:r>
              <w:rPr>
                <w:color w:val="0E1422"/>
                <w:sz w:val="17"/>
              </w:rPr>
              <w:t>Upcoming (in ~8 yr)</w:t>
            </w:r>
          </w:p>
        </w:tc>
      </w:tr>
      <w:tr>
        <w:tc>
          <w:tcPr>
            <w:tcW w:type="dxa" w:w="1872"/>
          </w:tcPr>
          <w:p>
            <w:pPr>
              <w:spacing w:after="0"/>
            </w:pPr>
            <w:r>
              <w:rPr>
                <w:color w:val="0E1422"/>
                <w:sz w:val="17"/>
              </w:rPr>
              <w:t>2034-04-01</w:t>
            </w:r>
          </w:p>
        </w:tc>
        <w:tc>
          <w:tcPr>
            <w:tcW w:type="dxa" w:w="4896"/>
          </w:tcPr>
          <w:p>
            <w:pPr>
              <w:spacing w:after="0"/>
            </w:pPr>
            <w:r>
              <w:rPr>
                <w:color w:val="0E1422"/>
                <w:sz w:val="17"/>
              </w:rPr>
              <w:t>Inside notice deadline for Option 1 exercise (9 months before expiration)</w:t>
            </w:r>
          </w:p>
        </w:tc>
        <w:tc>
          <w:tcPr>
            <w:tcW w:type="dxa" w:w="1584"/>
          </w:tcPr>
          <w:p>
            <w:pPr>
              <w:spacing w:after="0"/>
            </w:pPr>
            <w:r>
              <w:rPr>
                <w:color w:val="0E1422"/>
                <w:sz w:val="17"/>
              </w:rPr>
              <w:t>Lease §22.2</w:t>
            </w:r>
          </w:p>
        </w:tc>
        <w:tc>
          <w:tcPr>
            <w:tcW w:type="dxa" w:w="1440"/>
          </w:tcPr>
          <w:p>
            <w:pPr>
              <w:spacing w:after="0"/>
            </w:pPr>
            <w:r>
              <w:rPr>
                <w:color w:val="0E1422"/>
                <w:sz w:val="17"/>
              </w:rPr>
              <w:t>Upcoming (in ~8 yr)</w:t>
            </w:r>
          </w:p>
        </w:tc>
      </w:tr>
      <w:tr>
        <w:tc>
          <w:tcPr>
            <w:tcW w:type="dxa" w:w="1872"/>
          </w:tcPr>
          <w:p>
            <w:pPr>
              <w:spacing w:after="0"/>
            </w:pPr>
            <w:r>
              <w:rPr>
                <w:color w:val="0E1422"/>
                <w:sz w:val="17"/>
              </w:rPr>
              <w:t>2034-12-31</w:t>
            </w:r>
          </w:p>
        </w:tc>
        <w:tc>
          <w:tcPr>
            <w:tcW w:type="dxa" w:w="4896"/>
          </w:tcPr>
          <w:p>
            <w:pPr>
              <w:spacing w:after="0"/>
            </w:pPr>
            <w:r>
              <w:rPr>
                <w:color w:val="0E1422"/>
                <w:sz w:val="17"/>
              </w:rPr>
              <w:t>Initial term expiration</w:t>
            </w:r>
          </w:p>
        </w:tc>
        <w:tc>
          <w:tcPr>
            <w:tcW w:type="dxa" w:w="1584"/>
          </w:tcPr>
          <w:p>
            <w:pPr>
              <w:spacing w:after="0"/>
            </w:pPr>
            <w:r>
              <w:rPr>
                <w:color w:val="0E1422"/>
                <w:sz w:val="17"/>
              </w:rPr>
              <w:t>Lease §2.1</w:t>
            </w:r>
          </w:p>
        </w:tc>
        <w:tc>
          <w:tcPr>
            <w:tcW w:type="dxa" w:w="1440"/>
          </w:tcPr>
          <w:p>
            <w:pPr>
              <w:spacing w:after="0"/>
            </w:pPr>
            <w:r>
              <w:rPr>
                <w:color w:val="0E1422"/>
                <w:sz w:val="17"/>
              </w:rPr>
              <w:t>Upcoming (in ~8 yr)</w:t>
            </w:r>
          </w:p>
        </w:tc>
      </w:tr>
      <w:tr>
        <w:tc>
          <w:tcPr>
            <w:tcW w:type="dxa" w:w="1872"/>
            <w:shd w:val="clear" w:color="auto" w:fill="EFE3CE"/>
          </w:tcPr>
          <w:p>
            <w:pPr>
              <w:spacing w:after="0"/>
            </w:pPr>
            <w:r>
              <w:rPr>
                <w:b/>
                <w:color w:val="0E1422"/>
                <w:sz w:val="17"/>
              </w:rPr>
              <w:t>2027-01-01</w:t>
            </w:r>
          </w:p>
        </w:tc>
        <w:tc>
          <w:tcPr>
            <w:tcW w:type="dxa" w:w="4896"/>
            <w:shd w:val="clear" w:color="auto" w:fill="EFE3CE"/>
          </w:tcPr>
          <w:p>
            <w:pPr>
              <w:spacing w:after="0"/>
            </w:pPr>
            <w:r>
              <w:rPr>
                <w:b/>
                <w:color w:val="0E1422"/>
                <w:sz w:val="17"/>
              </w:rPr>
              <w:t>Year 1 of hold rent step (recurring)</w:t>
            </w:r>
          </w:p>
        </w:tc>
        <w:tc>
          <w:tcPr>
            <w:tcW w:type="dxa" w:w="1584"/>
            <w:shd w:val="clear" w:color="auto" w:fill="EFE3CE"/>
          </w:tcPr>
          <w:p>
            <w:pPr>
              <w:spacing w:after="0"/>
            </w:pPr>
            <w:r>
              <w:rPr>
                <w:b/>
                <w:color w:val="0E1422"/>
                <w:sz w:val="17"/>
              </w:rPr>
              <w:t>Lease §3.1</w:t>
            </w:r>
          </w:p>
        </w:tc>
        <w:tc>
          <w:tcPr>
            <w:tcW w:type="dxa" w:w="1440"/>
            <w:shd w:val="clear" w:color="auto" w:fill="EFE3CE"/>
          </w:tcPr>
          <w:p>
            <w:pPr>
              <w:spacing w:after="0"/>
            </w:pPr>
            <w:r>
              <w:rPr>
                <w:b/>
                <w:color w:val="0E1422"/>
                <w:sz w:val="17"/>
              </w:rPr>
              <w:t>Upcoming (in ~12 mo)</w:t>
            </w:r>
          </w:p>
        </w:tc>
      </w:tr>
      <w:tr>
        <w:tc>
          <w:tcPr>
            <w:tcW w:type="dxa" w:w="1872"/>
          </w:tcPr>
          <w:p>
            <w:pPr>
              <w:spacing w:after="0"/>
            </w:pPr>
            <w:r>
              <w:rPr>
                <w:color w:val="0E1422"/>
                <w:sz w:val="17"/>
              </w:rPr>
              <w:t>2035-01-01</w:t>
            </w:r>
          </w:p>
        </w:tc>
        <w:tc>
          <w:tcPr>
            <w:tcW w:type="dxa" w:w="4896"/>
          </w:tcPr>
          <w:p>
            <w:pPr>
              <w:spacing w:after="0"/>
            </w:pPr>
            <w:r>
              <w:rPr>
                <w:color w:val="0E1422"/>
                <w:sz w:val="17"/>
              </w:rPr>
              <w:t>Option 1 commencement (if exercised) — 10% rent reset + roof/structure reversion to Landlord</w:t>
            </w:r>
          </w:p>
        </w:tc>
        <w:tc>
          <w:tcPr>
            <w:tcW w:type="dxa" w:w="1584"/>
          </w:tcPr>
          <w:p>
            <w:pPr>
              <w:spacing w:after="0"/>
            </w:pPr>
            <w:r>
              <w:rPr>
                <w:color w:val="0E1422"/>
                <w:sz w:val="17"/>
              </w:rPr>
              <w:t>Lease §22.3</w:t>
            </w:r>
          </w:p>
        </w:tc>
        <w:tc>
          <w:tcPr>
            <w:tcW w:type="dxa" w:w="1440"/>
          </w:tcPr>
          <w:p>
            <w:pPr>
              <w:spacing w:after="0"/>
            </w:pPr>
            <w:r>
              <w:rPr>
                <w:color w:val="0E1422"/>
                <w:sz w:val="17"/>
              </w:rPr>
              <w:t>Upcoming (in ~9 yr)</w:t>
            </w:r>
          </w:p>
        </w:tc>
      </w:tr>
    </w:tbl>
    <w:p>
      <w:pPr>
        <w:spacing w:before="160" w:after="40"/>
        <w:pBdr>
          <w:bottom w:val="single" w:sz="4" w:color="D9DEE7" w:space="2"/>
        </w:pBdr>
      </w:pPr>
      <w:r>
        <w:rPr>
          <w:b/>
          <w:color w:val="19273C"/>
          <w:sz w:val="21"/>
        </w:rPr>
        <w:t>DD FLAGS / RISK ITEMS</w:t>
      </w:r>
    </w:p>
    <w:tbl>
      <w:tblPr>
        <w:tblStyle w:val="LightGrid-Accent1"/>
        <w:tblW w:type="auto" w:w="0"/>
        <w:jc w:val="left"/>
        <w:tblLook w:firstColumn="1" w:firstRow="1" w:lastColumn="0" w:lastRow="0" w:noHBand="0" w:noVBand="1" w:val="04A0"/>
      </w:tblPr>
      <w:tblGrid>
        <w:gridCol w:w="3408"/>
        <w:gridCol w:w="3408"/>
        <w:gridCol w:w="3408"/>
      </w:tblGrid>
      <w:tr>
        <w:tc>
          <w:tcPr>
            <w:tcW w:type="dxa" w:w="2448"/>
            <w:shd w:val="clear" w:color="auto" w:fill="F2F4F7"/>
          </w:tcPr>
          <w:p>
            <w:r>
              <w:rPr>
                <w:b/>
                <w:color w:val="19273C"/>
                <w:sz w:val="17"/>
              </w:rPr>
              <w:t>⚠ Flag</w:t>
            </w:r>
          </w:p>
        </w:tc>
        <w:tc>
          <w:tcPr>
            <w:tcW w:type="dxa" w:w="5184"/>
            <w:shd w:val="clear" w:color="auto" w:fill="F2F4F7"/>
          </w:tcPr>
          <w:p>
            <w:r>
              <w:rPr>
                <w:b/>
                <w:color w:val="19273C"/>
                <w:sz w:val="17"/>
              </w:rPr>
              <w:t>Detail</w:t>
            </w:r>
          </w:p>
        </w:tc>
        <w:tc>
          <w:tcPr>
            <w:tcW w:type="dxa" w:w="2016"/>
            <w:shd w:val="clear" w:color="auto" w:fill="F2F4F7"/>
          </w:tcPr>
          <w:p>
            <w:r>
              <w:rPr>
                <w:b/>
                <w:color w:val="19273C"/>
                <w:sz w:val="17"/>
              </w:rPr>
              <w:t>Lease Ref</w:t>
            </w:r>
          </w:p>
        </w:tc>
      </w:tr>
      <w:tr>
        <w:tc>
          <w:tcPr>
            <w:tcW w:type="dxa" w:w="2448"/>
            <w:shd w:val="clear" w:color="auto" w:fill="EFE3CE"/>
          </w:tcPr>
          <w:p>
            <w:pPr>
              <w:spacing w:after="0"/>
            </w:pPr>
            <w:r>
              <w:rPr>
                <w:color w:val="0E1422"/>
                <w:sz w:val="17"/>
              </w:rPr>
              <w:t>Roof/Structure Reversion at Option</w:t>
            </w:r>
          </w:p>
        </w:tc>
        <w:tc>
          <w:tcPr>
            <w:tcW w:type="dxa" w:w="5184"/>
          </w:tcPr>
          <w:p>
            <w:pPr>
              <w:spacing w:after="0"/>
            </w:pPr>
            <w:r>
              <w:rPr>
                <w:color w:val="0E1422"/>
                <w:sz w:val="17"/>
              </w:rPr>
              <w:t>If Tenant exercises Option 1, Landlord assumes replacement responsibility for roof, structural walls, foundation, and slab. Model the carrying cost step-up in Year 9+ of hold.</w:t>
            </w:r>
          </w:p>
        </w:tc>
        <w:tc>
          <w:tcPr>
            <w:tcW w:type="dxa" w:w="2016"/>
          </w:tcPr>
          <w:p>
            <w:pPr>
              <w:spacing w:after="0"/>
            </w:pPr>
            <w:r>
              <w:rPr>
                <w:color w:val="0E1422"/>
                <w:sz w:val="17"/>
              </w:rPr>
              <w:t>Lease §22.3</w:t>
            </w:r>
          </w:p>
        </w:tc>
      </w:tr>
      <w:tr>
        <w:tc>
          <w:tcPr>
            <w:tcW w:type="dxa" w:w="2448"/>
            <w:shd w:val="clear" w:color="auto" w:fill="EFE3CE"/>
          </w:tcPr>
          <w:p>
            <w:pPr>
              <w:spacing w:after="0"/>
            </w:pPr>
            <w:r>
              <w:rPr>
                <w:color w:val="0E1422"/>
                <w:sz w:val="17"/>
              </w:rPr>
              <w:t>OpCo Guaranty Only</w:t>
            </w:r>
          </w:p>
        </w:tc>
        <w:tc>
          <w:tcPr>
            <w:tcW w:type="dxa" w:w="5184"/>
          </w:tcPr>
          <w:p>
            <w:pPr>
              <w:spacing w:after="0"/>
            </w:pPr>
            <w:r>
              <w:rPr>
                <w:color w:val="0E1422"/>
                <w:sz w:val="17"/>
              </w:rPr>
              <w:t>Guaranty is the operating company itself — no separate parent or PropCo backstop. Confirm tenant financials and coverage ratios in DD.</w:t>
            </w:r>
          </w:p>
        </w:tc>
        <w:tc>
          <w:tcPr>
            <w:tcW w:type="dxa" w:w="2016"/>
          </w:tcPr>
          <w:p>
            <w:pPr>
              <w:spacing w:after="0"/>
            </w:pPr>
            <w:r>
              <w:rPr>
                <w:color w:val="0E1422"/>
                <w:sz w:val="17"/>
              </w:rPr>
              <w:t>Parties block</w:t>
            </w:r>
          </w:p>
        </w:tc>
      </w:tr>
      <w:tr>
        <w:tc>
          <w:tcPr>
            <w:tcW w:type="dxa" w:w="2448"/>
            <w:shd w:val="clear" w:color="auto" w:fill="EFE3CE"/>
          </w:tcPr>
          <w:p>
            <w:pPr>
              <w:spacing w:after="0"/>
            </w:pPr>
            <w:r>
              <w:rPr>
                <w:color w:val="0E1422"/>
                <w:sz w:val="17"/>
              </w:rPr>
              <w:t>Below-Inflation Escalations</w:t>
            </w:r>
          </w:p>
        </w:tc>
        <w:tc>
          <w:tcPr>
            <w:tcW w:type="dxa" w:w="5184"/>
          </w:tcPr>
          <w:p>
            <w:pPr>
              <w:spacing w:after="0"/>
            </w:pPr>
            <w:r>
              <w:rPr>
                <w:color w:val="0E1422"/>
                <w:sz w:val="17"/>
              </w:rPr>
              <w:t>2.0% annual bumps vs assumed 3.0% market rent growth widens mark-to-market over hold period.</w:t>
            </w:r>
          </w:p>
        </w:tc>
        <w:tc>
          <w:tcPr>
            <w:tcW w:type="dxa" w:w="2016"/>
          </w:tcPr>
          <w:p>
            <w:pPr>
              <w:spacing w:after="0"/>
            </w:pPr>
            <w:r>
              <w:rPr>
                <w:color w:val="0E1422"/>
                <w:sz w:val="17"/>
              </w:rPr>
              <w:t>First Amendment §1</w:t>
            </w:r>
          </w:p>
        </w:tc>
      </w:tr>
      <w:tr>
        <w:tc>
          <w:tcPr>
            <w:tcW w:type="dxa" w:w="2448"/>
            <w:shd w:val="clear" w:color="auto" w:fill="EFE3CE"/>
          </w:tcPr>
          <w:p>
            <w:pPr>
              <w:spacing w:after="0"/>
            </w:pPr>
            <w:r>
              <w:rPr>
                <w:color w:val="0E1422"/>
                <w:sz w:val="17"/>
              </w:rPr>
              <w:t>Environmental — Customary Use Exception</w:t>
            </w:r>
          </w:p>
        </w:tc>
        <w:tc>
          <w:tcPr>
            <w:tcW w:type="dxa" w:w="5184"/>
          </w:tcPr>
          <w:p>
            <w:pPr>
              <w:spacing w:after="0"/>
            </w:pPr>
            <w:r>
              <w:rPr>
                <w:color w:val="0E1422"/>
                <w:sz w:val="17"/>
              </w:rPr>
              <w:t>Environmental language permits 'customary and incidental' use of hazardous materials. Phase I and use-history review recommended.</w:t>
            </w:r>
          </w:p>
        </w:tc>
        <w:tc>
          <w:tcPr>
            <w:tcW w:type="dxa" w:w="2016"/>
          </w:tcPr>
          <w:p>
            <w:pPr>
              <w:spacing w:after="0"/>
            </w:pPr>
            <w:r>
              <w:rPr>
                <w:color w:val="0E1422"/>
                <w:sz w:val="17"/>
              </w:rPr>
              <w:t>Lease §15.1</w:t>
            </w:r>
          </w:p>
        </w:tc>
      </w:tr>
    </w:tbl>
    <w:p>
      <w:pPr>
        <w:spacing w:before="160" w:after="40"/>
        <w:pBdr>
          <w:bottom w:val="single" w:sz="4" w:color="D9DEE7" w:space="2"/>
        </w:pBdr>
      </w:pPr>
      <w:r>
        <w:rPr>
          <w:b/>
          <w:color w:val="19273C"/>
          <w:sz w:val="21"/>
        </w:rPr>
        <w:t>OTHER KEY PROVISIONS</w:t>
      </w:r>
    </w:p>
    <w:tbl>
      <w:tblPr>
        <w:tblStyle w:val="LightGrid-Accent1"/>
        <w:tblW w:type="auto" w:w="0"/>
        <w:jc w:val="left"/>
        <w:tblLook w:firstColumn="1" w:firstRow="1" w:lastColumn="0" w:lastRow="0" w:noHBand="0" w:noVBand="1" w:val="04A0"/>
      </w:tblPr>
      <w:tblGrid>
        <w:gridCol w:w="3408"/>
        <w:gridCol w:w="3408"/>
        <w:gridCol w:w="3408"/>
      </w:tblGrid>
      <w:tr>
        <w:tc>
          <w:tcPr>
            <w:tcW w:type="dxa" w:w="2448"/>
            <w:shd w:val="clear" w:color="auto" w:fill="F2F4F7"/>
          </w:tcPr>
          <w:p>
            <w:r>
              <w:rPr>
                <w:b/>
                <w:color w:val="19273C"/>
                <w:sz w:val="17"/>
              </w:rPr>
              <w:t>Provision</w:t>
            </w:r>
          </w:p>
        </w:tc>
        <w:tc>
          <w:tcPr>
            <w:tcW w:type="dxa" w:w="5184"/>
            <w:shd w:val="clear" w:color="auto" w:fill="F2F4F7"/>
          </w:tcPr>
          <w:p>
            <w:r>
              <w:rPr>
                <w:b/>
                <w:color w:val="19273C"/>
                <w:sz w:val="17"/>
              </w:rPr>
              <w:t>Detail</w:t>
            </w:r>
          </w:p>
        </w:tc>
        <w:tc>
          <w:tcPr>
            <w:tcW w:type="dxa" w:w="2016"/>
            <w:shd w:val="clear" w:color="auto" w:fill="F2F4F7"/>
          </w:tcPr>
          <w:p>
            <w:r>
              <w:rPr>
                <w:b/>
                <w:color w:val="19273C"/>
                <w:sz w:val="17"/>
              </w:rPr>
              <w:t>Lease Ref</w:t>
            </w:r>
          </w:p>
        </w:tc>
      </w:tr>
      <w:tr>
        <w:tc>
          <w:tcPr>
            <w:tcW w:type="dxa" w:w="2448"/>
          </w:tcPr>
          <w:p>
            <w:pPr>
              <w:spacing w:after="0"/>
            </w:pPr>
            <w:r>
              <w:rPr>
                <w:color w:val="0E1422"/>
                <w:sz w:val="17"/>
              </w:rPr>
              <w:t>Security Deposit</w:t>
            </w:r>
          </w:p>
        </w:tc>
        <w:tc>
          <w:tcPr>
            <w:tcW w:type="dxa" w:w="5184"/>
          </w:tcPr>
          <w:p>
            <w:pPr>
              <w:spacing w:after="0"/>
            </w:pPr>
            <w:r>
              <w:rPr>
                <w:color w:val="0E1422"/>
                <w:sz w:val="17"/>
              </w:rPr>
              <w:t>$50,000 cash deposit held by Landlord, returnable upon expiration provided no default</w:t>
            </w:r>
          </w:p>
        </w:tc>
        <w:tc>
          <w:tcPr>
            <w:tcW w:type="dxa" w:w="2016"/>
          </w:tcPr>
          <w:p>
            <w:pPr>
              <w:spacing w:after="0"/>
            </w:pPr>
            <w:r>
              <w:rPr>
                <w:color w:val="0E1422"/>
                <w:sz w:val="17"/>
              </w:rPr>
              <w:t>Lease §4.1</w:t>
            </w:r>
          </w:p>
        </w:tc>
      </w:tr>
      <w:tr>
        <w:tc>
          <w:tcPr>
            <w:tcW w:type="dxa" w:w="2448"/>
          </w:tcPr>
          <w:p>
            <w:pPr>
              <w:spacing w:after="0"/>
            </w:pPr>
            <w:r>
              <w:rPr>
                <w:color w:val="0E1422"/>
                <w:sz w:val="17"/>
              </w:rPr>
              <w:t>ROFR/ROFO</w:t>
            </w:r>
          </w:p>
        </w:tc>
        <w:tc>
          <w:tcPr>
            <w:tcW w:type="dxa" w:w="5184"/>
          </w:tcPr>
          <w:p>
            <w:pPr>
              <w:spacing w:after="0"/>
            </w:pPr>
            <w:r>
              <w:rPr>
                <w:color w:val="0E1422"/>
                <w:sz w:val="17"/>
              </w:rPr>
              <w:t>None — no rights of first refusal or first offer</w:t>
            </w:r>
          </w:p>
        </w:tc>
        <w:tc>
          <w:tcPr>
            <w:tcW w:type="dxa" w:w="2016"/>
          </w:tcPr>
          <w:p>
            <w:pPr>
              <w:spacing w:after="0"/>
            </w:pPr>
            <w:r>
              <w:rPr>
                <w:color w:val="0E1422"/>
                <w:sz w:val="17"/>
              </w:rPr>
              <w:t>Lease §24 (none)</w:t>
            </w:r>
          </w:p>
        </w:tc>
      </w:tr>
      <w:tr>
        <w:tc>
          <w:tcPr>
            <w:tcW w:type="dxa" w:w="2448"/>
          </w:tcPr>
          <w:p>
            <w:pPr>
              <w:spacing w:after="0"/>
            </w:pPr>
            <w:r>
              <w:rPr>
                <w:color w:val="0E1422"/>
                <w:sz w:val="17"/>
              </w:rPr>
              <w:t>Exclusive Use</w:t>
            </w:r>
          </w:p>
        </w:tc>
        <w:tc>
          <w:tcPr>
            <w:tcW w:type="dxa" w:w="5184"/>
          </w:tcPr>
          <w:p>
            <w:pPr>
              <w:spacing w:after="0"/>
            </w:pPr>
            <w:r>
              <w:rPr>
                <w:color w:val="0E1422"/>
                <w:sz w:val="17"/>
              </w:rPr>
              <w:t>Tenant has exclusive use for industrial distribution; Landlord may not lease adjacent owned property to competing distributor</w:t>
            </w:r>
          </w:p>
        </w:tc>
        <w:tc>
          <w:tcPr>
            <w:tcW w:type="dxa" w:w="2016"/>
          </w:tcPr>
          <w:p>
            <w:pPr>
              <w:spacing w:after="0"/>
            </w:pPr>
            <w:r>
              <w:rPr>
                <w:color w:val="0E1422"/>
                <w:sz w:val="17"/>
              </w:rPr>
              <w:t>Lease §18.1</w:t>
            </w:r>
          </w:p>
        </w:tc>
      </w:tr>
      <w:tr>
        <w:tc>
          <w:tcPr>
            <w:tcW w:type="dxa" w:w="2448"/>
          </w:tcPr>
          <w:p>
            <w:pPr>
              <w:spacing w:after="0"/>
            </w:pPr>
            <w:r>
              <w:rPr>
                <w:color w:val="0E1422"/>
                <w:sz w:val="17"/>
              </w:rPr>
              <w:t>Holdover</w:t>
            </w:r>
          </w:p>
        </w:tc>
        <w:tc>
          <w:tcPr>
            <w:tcW w:type="dxa" w:w="5184"/>
          </w:tcPr>
          <w:p>
            <w:pPr>
              <w:spacing w:after="0"/>
            </w:pPr>
            <w:r>
              <w:rPr>
                <w:color w:val="0E1422"/>
                <w:sz w:val="17"/>
              </w:rPr>
              <w:t>150% of then-current rent if Tenant holds over without consent</w:t>
            </w:r>
          </w:p>
        </w:tc>
        <w:tc>
          <w:tcPr>
            <w:tcW w:type="dxa" w:w="2016"/>
          </w:tcPr>
          <w:p>
            <w:pPr>
              <w:spacing w:after="0"/>
            </w:pPr>
            <w:r>
              <w:rPr>
                <w:color w:val="0E1422"/>
                <w:sz w:val="17"/>
              </w:rPr>
              <w:t>Lease §20.1</w:t>
            </w:r>
          </w:p>
        </w:tc>
      </w:tr>
      <w:tr>
        <w:tc>
          <w:tcPr>
            <w:tcW w:type="dxa" w:w="2448"/>
          </w:tcPr>
          <w:p>
            <w:pPr>
              <w:spacing w:after="0"/>
            </w:pPr>
            <w:r>
              <w:rPr>
                <w:color w:val="0E1422"/>
                <w:sz w:val="17"/>
              </w:rPr>
              <w:t>Casualty/Condemnation</w:t>
            </w:r>
          </w:p>
        </w:tc>
        <w:tc>
          <w:tcPr>
            <w:tcW w:type="dxa" w:w="5184"/>
          </w:tcPr>
          <w:p>
            <w:pPr>
              <w:spacing w:after="0"/>
            </w:pPr>
            <w:r>
              <w:rPr>
                <w:color w:val="0E1422"/>
                <w:sz w:val="17"/>
              </w:rPr>
              <w:t>Standard NNN provisions — Tenant continues paying rent during restoration; right to terminate if more than 50% of Premises rendered untenantable</w:t>
            </w:r>
          </w:p>
        </w:tc>
        <w:tc>
          <w:tcPr>
            <w:tcW w:type="dxa" w:w="2016"/>
          </w:tcPr>
          <w:p>
            <w:pPr>
              <w:spacing w:after="0"/>
            </w:pPr>
            <w:r>
              <w:rPr>
                <w:color w:val="0E1422"/>
                <w:sz w:val="17"/>
              </w:rPr>
              <w:t>Lease §16</w:t>
            </w:r>
          </w:p>
        </w:tc>
      </w:tr>
      <w:tr>
        <w:tc>
          <w:tcPr>
            <w:tcW w:type="dxa" w:w="2448"/>
          </w:tcPr>
          <w:p>
            <w:pPr>
              <w:spacing w:after="0"/>
            </w:pPr>
            <w:r>
              <w:rPr>
                <w:color w:val="0E1422"/>
                <w:sz w:val="17"/>
              </w:rPr>
              <w:t>Early Termination</w:t>
            </w:r>
          </w:p>
        </w:tc>
        <w:tc>
          <w:tcPr>
            <w:tcW w:type="dxa" w:w="5184"/>
          </w:tcPr>
          <w:p>
            <w:pPr>
              <w:spacing w:after="0"/>
            </w:pPr>
            <w:r>
              <w:rPr>
                <w:color w:val="0E1422"/>
                <w:sz w:val="17"/>
              </w:rPr>
              <w:t>None — no early termination right</w:t>
            </w:r>
          </w:p>
        </w:tc>
        <w:tc>
          <w:tcPr>
            <w:tcW w:type="dxa" w:w="2016"/>
          </w:tcPr>
          <w:p>
            <w:pPr>
              <w:spacing w:after="0"/>
            </w:pPr>
            <w:r>
              <w:rPr>
                <w:color w:val="0E1422"/>
                <w:sz w:val="17"/>
              </w:rPr>
              <w:t>Lease §2 (none)</w:t>
            </w:r>
          </w:p>
        </w:tc>
      </w:tr>
    </w:tbl>
    <w:p>
      <w:pPr>
        <w:spacing w:before="160" w:after="40"/>
        <w:pBdr>
          <w:bottom w:val="single" w:sz="4" w:color="D9DEE7" w:space="2"/>
        </w:pBdr>
      </w:pPr>
      <w:r>
        <w:rPr>
          <w:b/>
          <w:color w:val="19273C"/>
          <w:sz w:val="21"/>
        </w:rPr>
        <w:t>UNDERWRITING HANDOFF  (MAPS TO THE MODEL CONFIG)</w:t>
      </w:r>
    </w:p>
    <w:tbl>
      <w:tblPr>
        <w:tblW w:type="auto" w:w="0"/>
        <w:jc w:val="left"/>
        <w:tblLook w:firstColumn="1" w:firstRow="1" w:lastColumn="0" w:lastRow="0" w:noHBand="0" w:noVBand="1" w:val="04A0"/>
      </w:tblPr>
      <w:tblGrid>
        <w:gridCol w:w="5112"/>
        <w:gridCol w:w="5112"/>
      </w:tblGrid>
      <w:tr>
        <w:tc>
          <w:tcPr>
            <w:tcW w:type="dxa" w:w="3312"/>
            <w:shd w:val="clear" w:color="auto" w:fill="EFE3CE"/>
          </w:tcPr>
          <w:p>
            <w:pPr>
              <w:spacing w:after="20"/>
            </w:pPr>
            <w:r>
              <w:rPr>
                <w:b/>
                <w:color w:val="0E1422"/>
                <w:sz w:val="19"/>
              </w:rPr>
              <w:t>Building SF</w:t>
            </w:r>
          </w:p>
        </w:tc>
        <w:tc>
          <w:tcPr>
            <w:tcW w:type="dxa" w:w="6768"/>
            <w:shd w:val="clear" w:color="auto" w:fill="EFE3CE"/>
          </w:tcPr>
          <w:p>
            <w:pPr>
              <w:spacing w:after="20"/>
            </w:pPr>
            <w:r>
              <w:rPr>
                <w:color w:val="0E1422"/>
                <w:sz w:val="19"/>
              </w:rPr>
              <w:t>85,000</w:t>
            </w:r>
          </w:p>
        </w:tc>
      </w:tr>
      <w:tr>
        <w:tc>
          <w:tcPr>
            <w:tcW w:type="dxa" w:w="3312"/>
            <w:shd w:val="clear" w:color="auto" w:fill="EFE3CE"/>
          </w:tcPr>
          <w:p>
            <w:pPr>
              <w:spacing w:after="20"/>
            </w:pPr>
            <w:r>
              <w:rPr>
                <w:b/>
                <w:color w:val="0E1422"/>
                <w:sz w:val="19"/>
              </w:rPr>
              <w:t>In-Place Annual Rent</w:t>
            </w:r>
          </w:p>
        </w:tc>
        <w:tc>
          <w:tcPr>
            <w:tcW w:type="dxa" w:w="6768"/>
            <w:shd w:val="clear" w:color="auto" w:fill="EFE3CE"/>
          </w:tcPr>
          <w:p>
            <w:pPr>
              <w:spacing w:after="20"/>
            </w:pPr>
            <w:r>
              <w:rPr>
                <w:color w:val="0E1422"/>
                <w:sz w:val="19"/>
              </w:rPr>
              <w:t>$832,000</w:t>
            </w:r>
          </w:p>
        </w:tc>
      </w:tr>
      <w:tr>
        <w:tc>
          <w:tcPr>
            <w:tcW w:type="dxa" w:w="3312"/>
            <w:shd w:val="clear" w:color="auto" w:fill="EFE3CE"/>
          </w:tcPr>
          <w:p>
            <w:pPr>
              <w:spacing w:after="20"/>
            </w:pPr>
            <w:r>
              <w:rPr>
                <w:b/>
                <w:color w:val="0E1422"/>
                <w:sz w:val="19"/>
              </w:rPr>
              <w:t>In-Place $/SF</w:t>
            </w:r>
          </w:p>
        </w:tc>
        <w:tc>
          <w:tcPr>
            <w:tcW w:type="dxa" w:w="6768"/>
            <w:shd w:val="clear" w:color="auto" w:fill="EFE3CE"/>
          </w:tcPr>
          <w:p>
            <w:pPr>
              <w:spacing w:after="20"/>
            </w:pPr>
            <w:r>
              <w:rPr>
                <w:color w:val="0E1422"/>
                <w:sz w:val="19"/>
              </w:rPr>
              <w:t>$9.79</w:t>
            </w:r>
          </w:p>
        </w:tc>
      </w:tr>
      <w:tr>
        <w:tc>
          <w:tcPr>
            <w:tcW w:type="dxa" w:w="3312"/>
            <w:shd w:val="clear" w:color="auto" w:fill="EFE3CE"/>
          </w:tcPr>
          <w:p>
            <w:pPr>
              <w:spacing w:after="20"/>
            </w:pPr>
            <w:r>
              <w:rPr>
                <w:b/>
                <w:color w:val="0E1422"/>
                <w:sz w:val="19"/>
              </w:rPr>
              <w:t>Lease Expiration</w:t>
            </w:r>
          </w:p>
        </w:tc>
        <w:tc>
          <w:tcPr>
            <w:tcW w:type="dxa" w:w="6768"/>
            <w:shd w:val="clear" w:color="auto" w:fill="EFE3CE"/>
          </w:tcPr>
          <w:p>
            <w:pPr>
              <w:spacing w:after="20"/>
            </w:pPr>
            <w:r>
              <w:rPr>
                <w:color w:val="0E1422"/>
                <w:sz w:val="19"/>
              </w:rPr>
              <w:t>December 31, 2034</w:t>
            </w:r>
          </w:p>
        </w:tc>
      </w:tr>
      <w:tr>
        <w:tc>
          <w:tcPr>
            <w:tcW w:type="dxa" w:w="3312"/>
            <w:shd w:val="clear" w:color="auto" w:fill="EFE3CE"/>
          </w:tcPr>
          <w:p>
            <w:pPr>
              <w:spacing w:after="20"/>
            </w:pPr>
            <w:r>
              <w:rPr>
                <w:b/>
                <w:color w:val="0E1422"/>
                <w:sz w:val="19"/>
              </w:rPr>
              <w:t>Suggested rollover_year</w:t>
            </w:r>
          </w:p>
        </w:tc>
        <w:tc>
          <w:tcPr>
            <w:tcW w:type="dxa" w:w="6768"/>
            <w:shd w:val="clear" w:color="auto" w:fill="EFE3CE"/>
          </w:tcPr>
          <w:p>
            <w:pPr>
              <w:spacing w:after="20"/>
            </w:pPr>
            <w:r>
              <w:rPr>
                <w:color w:val="0E1422"/>
                <w:sz w:val="19"/>
              </w:rPr>
              <w:t>8 (lease expires Year 8 of 10-year hold beginning 2027)</w:t>
            </w:r>
          </w:p>
        </w:tc>
      </w:tr>
      <w:tr>
        <w:tc>
          <w:tcPr>
            <w:tcW w:type="dxa" w:w="3312"/>
            <w:shd w:val="clear" w:color="auto" w:fill="EFE3CE"/>
          </w:tcPr>
          <w:p>
            <w:pPr>
              <w:spacing w:after="20"/>
            </w:pPr>
            <w:r>
              <w:rPr>
                <w:b/>
                <w:color w:val="0E1422"/>
                <w:sz w:val="19"/>
              </w:rPr>
              <w:t>Suggested months_in_rollover</w:t>
            </w:r>
          </w:p>
        </w:tc>
        <w:tc>
          <w:tcPr>
            <w:tcW w:type="dxa" w:w="6768"/>
            <w:shd w:val="clear" w:color="auto" w:fill="EFE3CE"/>
          </w:tcPr>
          <w:p>
            <w:pPr>
              <w:spacing w:after="20"/>
            </w:pPr>
            <w:r>
              <w:rPr>
                <w:color w:val="0E1422"/>
                <w:sz w:val="19"/>
              </w:rPr>
              <w:t>12 (lease runs through end of calendar Year 8)</w:t>
            </w:r>
          </w:p>
        </w:tc>
      </w:tr>
      <w:tr>
        <w:tc>
          <w:tcPr>
            <w:tcW w:type="dxa" w:w="3312"/>
            <w:shd w:val="clear" w:color="auto" w:fill="EFE3CE"/>
          </w:tcPr>
          <w:p>
            <w:pPr>
              <w:spacing w:after="20"/>
            </w:pPr>
            <w:r>
              <w:rPr>
                <w:b/>
                <w:color w:val="0E1422"/>
                <w:sz w:val="19"/>
              </w:rPr>
              <w:t>Escalation %</w:t>
            </w:r>
          </w:p>
        </w:tc>
        <w:tc>
          <w:tcPr>
            <w:tcW w:type="dxa" w:w="6768"/>
            <w:shd w:val="clear" w:color="auto" w:fill="EFE3CE"/>
          </w:tcPr>
          <w:p>
            <w:pPr>
              <w:spacing w:after="20"/>
            </w:pPr>
            <w:r>
              <w:rPr>
                <w:color w:val="0E1422"/>
                <w:sz w:val="19"/>
              </w:rPr>
              <w:t>2.0% annual, continuing through options</w:t>
            </w:r>
          </w:p>
        </w:tc>
      </w:tr>
      <w:tr>
        <w:tc>
          <w:tcPr>
            <w:tcW w:type="dxa" w:w="3312"/>
            <w:shd w:val="clear" w:color="auto" w:fill="EFE3CE"/>
          </w:tcPr>
          <w:p>
            <w:pPr>
              <w:spacing w:after="20"/>
            </w:pPr>
            <w:r>
              <w:rPr>
                <w:b/>
                <w:color w:val="0E1422"/>
                <w:sz w:val="19"/>
              </w:rPr>
              <w:t>Lease Structure</w:t>
            </w:r>
          </w:p>
        </w:tc>
        <w:tc>
          <w:tcPr>
            <w:tcW w:type="dxa" w:w="6768"/>
            <w:shd w:val="clear" w:color="auto" w:fill="EFE3CE"/>
          </w:tcPr>
          <w:p>
            <w:pPr>
              <w:spacing w:after="20"/>
            </w:pPr>
            <w:r>
              <w:rPr>
                <w:color w:val="0E1422"/>
                <w:sz w:val="19"/>
              </w:rPr>
              <w:t>absolute_nnn — Tenant direct-pays taxes, insurance, all R&amp;M, utilities. LL OpEx = $0 through initial term. Roof/structure replacement reverts to LL in option years — model as separate carrying cost in Year 9+</w:t>
            </w:r>
          </w:p>
        </w:tc>
      </w:tr>
      <w:tr>
        <w:tc>
          <w:tcPr>
            <w:tcW w:type="dxa" w:w="3312"/>
            <w:shd w:val="clear" w:color="auto" w:fill="EFE3CE"/>
          </w:tcPr>
          <w:p>
            <w:pPr>
              <w:spacing w:after="20"/>
            </w:pPr>
            <w:r>
              <w:rPr>
                <w:b/>
                <w:color w:val="0E1422"/>
                <w:sz w:val="19"/>
              </w:rPr>
              <w:t>Renewal Options</w:t>
            </w:r>
          </w:p>
        </w:tc>
        <w:tc>
          <w:tcPr>
            <w:tcW w:type="dxa" w:w="6768"/>
            <w:shd w:val="clear" w:color="auto" w:fill="EFE3CE"/>
          </w:tcPr>
          <w:p>
            <w:pPr>
              <w:spacing w:after="20"/>
            </w:pPr>
            <w:r>
              <w:rPr>
                <w:color w:val="0E1422"/>
                <w:sz w:val="19"/>
              </w:rPr>
              <w:t>2 × 5-year options, 10% bump from then-current rent at each option commencement, continuing 2.0% bumps within option</w:t>
            </w:r>
          </w:p>
        </w:tc>
      </w:tr>
      <w:tr>
        <w:tc>
          <w:tcPr>
            <w:tcW w:type="dxa" w:w="3312"/>
            <w:shd w:val="clear" w:color="auto" w:fill="EFE3CE"/>
          </w:tcPr>
          <w:p>
            <w:pPr>
              <w:spacing w:after="20"/>
            </w:pPr>
            <w:r>
              <w:rPr>
                <w:b/>
                <w:color w:val="0E1422"/>
                <w:sz w:val="19"/>
              </w:rPr>
              <w:t>Notes</w:t>
            </w:r>
          </w:p>
        </w:tc>
        <w:tc>
          <w:tcPr>
            <w:tcW w:type="dxa" w:w="6768"/>
            <w:shd w:val="clear" w:color="auto" w:fill="EFE3CE"/>
          </w:tcPr>
          <w:p>
            <w:pPr>
              <w:spacing w:after="20"/>
            </w:pPr>
            <w:r>
              <w:rPr>
                <w:color w:val="0E1422"/>
                <w:sz w:val="19"/>
              </w:rPr>
              <w:t>Year 9+ (if option exercised) requires re-modeling reimb_recovery and adding LL roof/structure replacement reserve. Notice window is 9-12 months prior to expiration — flag Year 7 of hold for renewal-decision tracking.</w:t>
            </w:r>
          </w:p>
        </w:tc>
      </w:tr>
    </w:tbl>
    <w:sectPr w:rsidR="00FC693F" w:rsidRPr="0006063C" w:rsidSect="00034616">
      <w:headerReference w:type="default" r:id="rId9"/>
      <w:footerReference w:type="default" r:id="rId10"/>
      <w:pgSz w:w="12240" w:h="15840"/>
      <w:pgMar w:top="1008"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587"/>
        <w:sz w:val="15"/>
      </w:rPr>
      <w:t>Capistrano Real Estate Advisors  ·  Capistrano  ·  Lease Abstract — Confidential  ·  confirm against the executed lease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541325" cy="365760"/>
          <wp:docPr id="1" name="Picture 1"/>
          <wp:cNvGraphicFramePr>
            <a:graphicFrameLocks noChangeAspect="1"/>
          </wp:cNvGraphicFramePr>
          <a:graphic>
            <a:graphicData uri="http://schemas.openxmlformats.org/drawingml/2006/picture">
              <pic:pic>
                <pic:nvPicPr>
                  <pic:cNvPr id="0" name="capistrano-logo-header.png"/>
                  <pic:cNvPicPr/>
                </pic:nvPicPr>
                <pic:blipFill>
                  <a:blip r:embed="rId1"/>
                  <a:stretch>
                    <a:fillRect/>
                  </a:stretch>
                </pic:blipFill>
                <pic:spPr>
                  <a:xfrm>
                    <a:off x="0" y="0"/>
                    <a:ext cx="541325" cy="36576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